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737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C  R  Y  P  T  O  C  U  R  R  E  N  C  Y     P  L  A  T  F  O  R  M     P  R  D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Криптовалютная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платформа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по закону РФ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Продуктовое требование и инвестиционный анализ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 1.0 | Конфиденциально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Дата: Июнь 2026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Статус: Для инвесторов</w:t>
            </w:r>
          </w:p>
          <w:p>
            <w:pPr>
              <w:spacing w:before="3737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PRD | Конфиденциально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Июнь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Анализ рынка и регуляторный контекст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Текущее состояние крипторынка в России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Федеральный закон № 1194918-8: ключевые положения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Кросс-бордер транзакции и валютный контроль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Объём рынка и прогноз роста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Бизнес-модель и монетизация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Архитектура бизнес-модели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Потоки доходов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Ценовая стратегия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Продуктовые требования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Функциональные требования к платформе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Модуль идентификации и KYC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Торговый движок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Кастодиальное хранение и кошельки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Кросс-бордер платёжный модуль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Нефункциональные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Требования к информационной безопасности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Конкурентный анализ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Ландшафт конкуренции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Конкурентные преимущества проекта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Финансовая модель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Капитальные затраты (CAPEX)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Операционные затраты (OPEX)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Прогноз выручки и рентабельности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Расчёт ROI и IRR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Дорожная карта реализации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Фазы проекта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Команда и ресурсы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Анализ рисков и стратегии митигации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Выводы и рекомендации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Итоговая оценка инвестиционной привлекательности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Рекомендации по реализации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Следующие шаги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Примечание: Данное оглавление сформировано через полевые коды. Для корректного отображения номеров страниц нажмите правой кнопкой мыши на оглавление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F2027"/>
          <w:sz w:val="32"/>
          <w:szCs w:val="32"/>
        </w:rPr>
        <w:t xml:space="preserve">Резюме</w:t>
      </w:r>
      <w:bookmarkEnd w:id="10000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Настоящий документ представляет собой продуктовое требование (PRD) и инвестиционный анализ проекта создания криптовалютной платформы, полностью соответствующей законодательству Российской Федерации и поддерживающей международные транзакции. Проект инициирован в контексте принятия Федерального закона № 1194918-8 «О цифровой валюте и цифровых правах», вступающего в силу 1 июля 2026 года, который впервые создаёт легальную основу для функционирования криптовалютных бирж и обменников на территории России под контролем Банка России.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Ключевой вывод анализа: проект является инвестиционно привлекательным при условии строгого соблюдения регуляторных требований и фокусировки на кросс-бордер платёжном коридоре. Прогнозируемый объём рынка криптовалютных услуг в РФ к 2027 году оценивается в 8-12 млрд долларов США, при этом легальная ниша практически свободна от конкурентов. Расчётная внутренняя норма доходности (IRR) проекта составляет 28-35% при горизонте планирования 5 лет, а срок окупаемости — 2,5-3,5 года в зависимости от сценария проникновения рынка.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Основные преимущества проекта: первый ход на легальном рынке РФ, синергия с экспортно-импортными потребностями бизнеса в условиях санкционных ограничений, и возможность формирования замкнутой экосистемы «биржа — обменник — кастодиальный депозитарий — брокер». Ключевые риски связаны с регуляторной неопределённостью в деталях вторичного законодательства, высокими порогами входа (уставный капитал от 35 млн рублей для обменника, от 100 млн для биржи) и геополитическими факторами, которые могут как стимулировать спрос на альтернативные платёжные каналы, так и ужесточить ограничения.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F2027"/>
          <w:sz w:val="32"/>
          <w:szCs w:val="32"/>
        </w:rPr>
        <w:t xml:space="preserve">Анализ рынка и регуляторный контекст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F2027"/>
          <w:sz w:val="28"/>
          <w:szCs w:val="28"/>
        </w:rPr>
        <w:t xml:space="preserve">Текущее состояние крипторынка в России</w:t>
      </w:r>
      <w:bookmarkEnd w:id="10000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Российская Федерация занимает одно из ведущих мест в мире по объёму криптовалютных транзакций. По данным аналитических платформ, объём криптовалютных операций резидентов РФ в 2024 году превысил 20 млрд долларов США, что включает как торговлю на централизованных биржах, так и P2P-переводы, DeFi-протоколы и операции через внебиржевые столы. При этом до принятия закона № 1194918-8 вся деятельность с криптовалютами находилась в «серой зоне» — формально не запрещённая, но и не регулируемая, что создавало значительные риски для всех участников рынка.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Структура спроса на криптовалютные услуги в России формируется тремя основными сегментами. Первый — розничные инвесторы, привлечённые потенциальной доходностью цифровых активов и ищущие альтернативу традиционным финансовым инструментам. Второй — бизнес, нуждающийся в кросс-бордер расчётах в условиях ограничения доступа к традиционным банковским каналам (SWIFT). Третий — технологические компании и стартапы, использующие блокчейн-инфраструктуру для выпуска и обращения цифровых финансовых активов (ЦФА). Каждый из этих сегментов имеет различную ценовую чувствительность, регуляторные ограничения и функциональные требования к платформе.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F2027"/>
          <w:sz w:val="28"/>
          <w:szCs w:val="28"/>
        </w:rPr>
        <w:t xml:space="preserve">Федеральный закон № 1194918-8: ключевые положения</w:t>
      </w:r>
      <w:bookmarkEnd w:id="10000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Принятый Государственной Думой Федеральный закон «О цифровой валюте и цифровых правах» вступает в силу 1 июля 2026 года и создаёт комплексную правовую основу для легального криптовалютного рынка в России. Закон определяет пять типов лицензируемых криптоорганизаций: операторы обмена цифровой валюты (биржи), цифровые депозитарии, цифровые брокеры, управляющие компании и цифровые обменники. Каждый тип деятельности подлежит лицензированию Банком России и должен соответствовать строгим требованиям по уставному капиталу, комплаенс-процедурам и технической инфраструктуре.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Особого внимания заслуживает система адрес-идентификаторов, вводимая законом. Каждый пользователь криптовалютной платформы обязан получить адрес-идентификатор — уникальный код, привязывающий личность к конкретным криптовалютным адресам. Операции с адресами, не имеющими идентификатора, запрещены для лицензированных платформ. Это создаёт значительную нагрузку на инфраструктуру KYC/AML, но одновременно обеспечивает конкурентное преимущество легальным площадкам перед теневыми сервисами, поскольку гарантирует прозрачность и отслеживаемость транзакций.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Закон также вводит институт квалификации инвесторов: для неквалифицированных инвесторов устанавливается годовой лимит инвестиций в криптовалюты в размере 300 000 рублей, тогда как квалифицированные инвесторы (прошедшие тестирование и отвечающие критериям по размеру активов) не имеют ограничений. Это сегментирует клиентскую базу и требует от платформы разработки механизмов квалификационного тестирования, интеграции с ЕСИА (Госуслуги) и биометрической верификации личности.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0F2027"/>
          <w:sz w:val="28"/>
          <w:szCs w:val="28"/>
        </w:rPr>
        <w:t xml:space="preserve">Кросс-бордер транзакции и валютный контроль</w:t>
      </w:r>
      <w:bookmarkEnd w:id="10000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Одной из наиболее значимых возможностей, открываемых новым законодательством, является легальное использование криптовалют для международных расчётов. В условиях ограничения доступа российских банков к SWIFT и ужесточения санкционного давления, криптовалютные каналы трансграничных платежей становятся критически важными для импортёров и экспортёров. Закон предусматривает специальный режим для кросс-бордер операций, требующий соблюдения валютного законодательства (ФЗ-173 «О валютном регулировании») и предоставления отчётности в Банк России.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Практическая реализация кросс-бордер функциональности потребует интеграции с зарубежными ликвидными площадками, создания мостов ликвидности (liquidity bridges) и обеспечения конвертации фиатных валют в криптовалюты и обратно с минимальными издержками. Ожидается, что комиссионный доход от кросс-бордер операций составит 40-60% совокупной выручки платформы в первые годы функционирования, что делает данный функционал стратегическим приоритетом.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F2027"/>
          <w:sz w:val="28"/>
          <w:szCs w:val="28"/>
        </w:rPr>
        <w:t xml:space="preserve">Объём рынка и прогноз роста</w:t>
      </w:r>
      <w:bookmarkEnd w:id="10000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Оценка потенциального объёма рынка базируется на анализе текущих объёмов криптовалютных операций в РФ, аналогичных показателей в юрисдикциях с развитым регуляторным框架ом (ЕС, Сингапур, ОАЭ) и прогнозируемом перетоке пользователей из теневого сектора в легальный. Консервативный сценарий предполагает, что к 2028 году совокупный объём легальных криптовалютных операций в РФ достигнет 15-20 млрд долларов США, а оптимистичный — 25-35 млрд долларов США при благоприятном регуляторном развитии.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2026 (год запуска)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2027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2028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2029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2030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Объём рынка, млрд USD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2-4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8-12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15-20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22-30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30-45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Легальная доля, 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10-15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25-35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40-55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55-70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65-80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Число лицензированных платформ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3-5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8-12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12-18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15-22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18-25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 комиссия, 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0,5-1,0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0,4-0,8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0,3-0,6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0,25-0,5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0,2-0,4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1. Прогноз рынка криптовалютных услуг в РФ (2026-2030)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Calibri" w:eastAsia="SimHei"/>
          <w:b/>
          <w:bCs/>
          <w:color w:val="0F2027"/>
          <w:sz w:val="32"/>
          <w:szCs w:val="32"/>
        </w:rPr>
        <w:t xml:space="preserve">Бизнес-модель и монетизация</w:t>
      </w:r>
      <w:bookmarkEnd w:id="100006"/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0F2027"/>
          <w:sz w:val="28"/>
          <w:szCs w:val="28"/>
        </w:rPr>
        <w:t xml:space="preserve">Архитектура бизнес-модели</w:t>
      </w:r>
      <w:bookmarkEnd w:id="10000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Бизнес-модель платформы строится на концепции вертикально интегрированной криптоэкосистемы, объединяющей несколько лицензируемых видов деятельности в рамках единого технологического и операционного контура. Это позволяет максимизировать LTV клиента за счёт кросс-продажи сервисов, снизить операционные издержки через общую инфраструктуру комплаенса и распределить регуляторные риски по нескольким лицензионным направлениям. Ключевыми видами деятельности на этапе запуска являются: оператор обмена цифровой валюты (биржа), цифровой обменник и цифровой депозитарий.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Стратегическое преимущество вертикальной интеграции заключается в создании «замкнутого контура» обслуживания клиента: от прохождения KYC/AML-процедур через депозитарное хранение активов до исполнения сделок на бирже и конвертации в фиатные валюты через обменник. Каждый этап генерирует собственный поток доходов, при этом общие издержки на привлечение клиента (CAC) распределяются между несколькими сервисами, значительно улучшая юнит-экономику.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F2027"/>
          <w:sz w:val="28"/>
          <w:szCs w:val="28"/>
        </w:rPr>
        <w:t xml:space="preserve">Потоки доходов</w:t>
      </w:r>
      <w:bookmarkEnd w:id="10000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Основные источники доходов платформы включают торговые комиссии, комиссии за конвертацию (фиат-крипто и кросс-бордер), депозитарные сборы, подписки на рыночные данные и премиальные сервисы, а также доходы от листинга новых токенов. Каждый поток доходов имеет различную маржинальность и динамику роста, что обеспечивает диверсификацию выручки и устойчивость к рыночным циклам.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Источник дохода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Доля в выручке (год 1)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Доля в выручке (год 3)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Маржинальность, 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Торговые комиссии (биржа)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35-40%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25-30%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65-75%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Конвертация фиат-крипто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25-30%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20-25%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50-60%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Кросс-бордер переводы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15-20%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30-40%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45-55%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Депозитарные услуги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5-8%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8-12%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70-80%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Премиальные сервисы и данные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3-5%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5-8%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80-90%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Листинг и токенизация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2-5%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5-8%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60-70%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2. Структура доходов платформы по видам деятельности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0F2027"/>
          <w:sz w:val="28"/>
          <w:szCs w:val="28"/>
        </w:rPr>
        <w:t xml:space="preserve">Ценовая стратегия</w:t>
      </w:r>
      <w:bookmarkEnd w:id="10000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Ценовая стратегия платформы основана на принципе «премиальной доступности» — установлении конкурентных базовых тарифов для массового сегмента с возможностью апселла к премиальным сервисам с повышенной маржинальностью. Базовая торговая комиссия на этапе запуска составит 0,6% для мейкеров и 0,8% для тейкеров, что соответствует среднерыночному уровню для регулируемых бирж. Комиссия за кросс-бордер переводы будет варьироваться от 1,0% до 2,5% в зависимости от коридора, объёма и скорости исполнения, что компенсирует повышенные операционные и комплаенс-издержки.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Депозитарные сборы рассчитываются как годовой процент от стоимости хранимых активов (0,5-1,5% годовых), что ниже стоимости самостоятельного обеспечения безопасности при сопоставимом уровне защиты. Премиальные сервисы (API-доступ, расширенная аналитика, приоритетное исполнение сделок, персональный менеджер) предлагаются по модели подписки от 5 000 до 50 000 рублей в месяц, формируя предсказуемый рекуррентный доход.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0F2027"/>
          <w:sz w:val="32"/>
          <w:szCs w:val="32"/>
        </w:rPr>
        <w:t xml:space="preserve">Продуктовые требования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0F2027"/>
          <w:sz w:val="28"/>
          <w:szCs w:val="28"/>
        </w:rPr>
        <w:t xml:space="preserve">Функциональные требования к платформе</w:t>
      </w:r>
      <w:bookmarkEnd w:id="10001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должна обеспечивать полный цикл работы с криптовалютными активами: от регистрации и верификации пользователя до исполнения сделок, хранения активов и вывода средств. Архитектурно платформа строится по микросервисному принципу с выделенными доменами: Identity &amp; Access Management (IAM), Trading Engine, Custody &amp; Wallet, Payments &amp; Settlement, Compliance &amp; Monitoring, Analytics &amp; Reporting. Каждый домен разрабатывается и масштабируется независимо, что обеспечивает гибкость развития и отказоустойчивость системы.</w:t>
      </w:r>
    </w:p>
    <w:p>
      <w:pPr>
        <w:pStyle w:val="Heading3"/>
        <w:spacing w:after="100" w:before="200" w:line="312"/>
      </w:pPr>
      <w:bookmarkStart w:id="100012" w:name="_Toc100012"/>
      <w:r>
        <w:rPr>
          <w:rFonts w:ascii="Calibri" w:eastAsia="SimHei"/>
          <w:b/>
          <w:bCs/>
          <w:color w:val="0F2027"/>
          <w:sz w:val="24"/>
          <w:szCs w:val="24"/>
        </w:rPr>
        <w:t xml:space="preserve">Модуль идентификации и KYC</w:t>
      </w:r>
      <w:bookmarkEnd w:id="10001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Модуль идентификации является критически важным компонентом, от которого зависит не только соответствие требованиям 115-ФЗ и закона № 1194918-8, но и конверсия регистрации в активных пользователей. Процесс верификации должен включать: регистрацию через ЕСИА (Госуслуги) для подтверждения личности гражданина РФ, биометрическую верификацию с liveness-детекцией для предотвращения подмены личности, проверку по базам санкционных списков (SDN, российские санкционные перечни), систему адрес-идентификаторов для привязки криптовалютных адресов к личности, а также механизм квалификационного тестирования инвесторов.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Целевой показатель конверсии от регистрации до полной верификации — не менее 60% для резидентов РФ. Время прохождения полной верификации — не более 15 минут для автоматических сценариев и не более 24 часов для случаев, требующих ручной проверки. Для нерезидентов РФ предусмотрен альтернативный путь верификации с использованием международного KYC-провайдера и консульской легализации документов.</w:t>
      </w:r>
    </w:p>
    <w:p>
      <w:pPr>
        <w:pStyle w:val="Heading3"/>
        <w:spacing w:after="100" w:before="200" w:line="312"/>
      </w:pPr>
      <w:bookmarkStart w:id="100013" w:name="_Toc100013"/>
      <w:r>
        <w:rPr>
          <w:rFonts w:ascii="Calibri" w:eastAsia="SimHei"/>
          <w:b/>
          <w:bCs/>
          <w:color w:val="0F2027"/>
          <w:sz w:val="24"/>
          <w:szCs w:val="24"/>
        </w:rPr>
        <w:t xml:space="preserve">Торговый движок</w:t>
      </w:r>
      <w:bookmarkEnd w:id="10001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Торговый движок (Trading Engine) должен обеспечивать исполнение заявок с задержкой (latency) не более 10 миллисекунд при пиковой нагрузке до 100 000 операций в секунду. Поддерживаемые типы ордеров: рыночный (market), лимитный (limit), стоп-лосс (stop-loss), тейк-профит (take-profit) и условный (conditional). Механизм мэтчинга — central limit order book (CLOB) с ценовым приоритетом и приоритетом времени. Минимальный размер сделки — эквивалент 500 рублей, максимальный — определяется уровнем квалификации инвестора.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Движок должен поддерживать не менее 50 торговых пар на этапе запуска с возможностью расширения до 200+ пар. Интеграция с внешними биржами для обеспечения ликвидности (liquidity bridging) через FIX-протокол и REST API является обязательным требованием. Механизм рыночных данных (market data) должен обеспечивать трансляцию стакана ордеров (order book), ленты сделок (trade tape) и агрегированных котировок с задержкой не более 50 миллисекунд.</w:t>
      </w:r>
    </w:p>
    <w:p>
      <w:pPr>
        <w:pStyle w:val="Heading3"/>
        <w:spacing w:after="100" w:before="200" w:line="312"/>
      </w:pPr>
      <w:bookmarkStart w:id="100014" w:name="_Toc100014"/>
      <w:r>
        <w:rPr>
          <w:rFonts w:ascii="Calibri" w:eastAsia="SimHei"/>
          <w:b/>
          <w:bCs/>
          <w:color w:val="0F2027"/>
          <w:sz w:val="24"/>
          <w:szCs w:val="24"/>
        </w:rPr>
        <w:t xml:space="preserve">Кастодиальное хранение и кошельки</w:t>
      </w:r>
      <w:bookmarkEnd w:id="10001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Подсистема кастодиального хранения реализует архитектуру «горячий — тёплый — холодный» кошелёк с пропорцией 5%/15%/80% активов соответственно. Горячий кошёлек предназначен для обеспечения мгновенных выводов и работает под управлением HSM-модулей (Hardware Security Module) сертифицированных ФСТЭК. Тёплый кошёлек обслуживает повседневные операции с мультиподписью (2-of-3). Холодное хранение реализуется на базе air-gapped систем с мультиподписью (3-of-5) и географически распределённым хранением ключей.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Каждая операция вывода средств требует подтверждения через множественную авторизацию: SMS/Push-уведомление, email-подтверждение и (для сумм свыше эквивалента 100 000 рублей) верификация через биометрию. Система внутреннего контроля транзакций (transaction monitoring) использует правилную и ML-модель для выявления подозрительных паттернов в реальном времени с блокировкой операций при превышении скорингового порога.</w:t>
      </w:r>
    </w:p>
    <w:p>
      <w:pPr>
        <w:pStyle w:val="Heading3"/>
        <w:spacing w:after="100" w:before="200" w:line="312"/>
      </w:pPr>
      <w:bookmarkStart w:id="100015" w:name="_Toc100015"/>
      <w:r>
        <w:rPr>
          <w:rFonts w:ascii="Calibri" w:eastAsia="SimHei"/>
          <w:b/>
          <w:bCs/>
          <w:color w:val="0F2027"/>
          <w:sz w:val="24"/>
          <w:szCs w:val="24"/>
        </w:rPr>
        <w:t xml:space="preserve">Кросс-бордер платёжный модуль</w:t>
      </w:r>
      <w:bookmarkEnd w:id="10001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Модуль международных платежей обеспечивает конвертацию фиатных валют в криптовалюты и обратно с поддержкой основных коридоров: Россия — Китай, Россия — ОАЭ, Россия — Турция, Россия — Индия, Россия — страны СНГ. Для каждого коридора определены поддерживаемые фиатные валюты (рубль, юань, дирхам, лира, рупия), предпочтительные криптовалюты (USDT, BTC, ETH) и типовые сроки исполнения (от нескольких минут для крипто-крипто конвертации до 1-3 банковских дней для фиатного вывода).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Интеграция с банковскими партнёрами в юрисдикциях коридоров осуществляется через correspondent banking и payment gateway. Обязательным является соблюдение валютного контроля: формирование паспортов сделок, предоставление справок о валютных операциях и уведомлений в уполномоченные банки. Платформа выступает агентом валютного контроля и обеспечивает автоматическое формирование requisite документации.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0F2027"/>
          <w:sz w:val="28"/>
          <w:szCs w:val="28"/>
        </w:rPr>
        <w:t xml:space="preserve">Нефункциональные требования</w:t>
      </w:r>
      <w:bookmarkEnd w:id="100016"/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Требование</w:t>
            </w:r>
          </w:p>
        </w:tc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Целевой показатель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Доступность (SLA)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99,95% (не более 4,38 часа простоя/год)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Latency мэтчинга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&lt;10 мс при нагрузке до 100K TPS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Пропускная способность API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 50 000 запросов/сек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Шифрование данных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GOST 28147-89 + AES-256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 (закон)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Резервное копирование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RPO &lt; 1 мин, RTO &lt; 15 мин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Локализация данных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Все данные — на территории РФ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 (закон)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Масштабируемость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Горизонтальное масштабирование до 1M пользователей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Аудиторский след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Полное логирование всех операций, хранение 5 лет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Критичная (закон)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3. Нефункциональные требования к платформе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0F2027"/>
          <w:sz w:val="28"/>
          <w:szCs w:val="28"/>
        </w:rPr>
        <w:t xml:space="preserve">Требования к информационной безопасности</w:t>
      </w:r>
      <w:bookmarkEnd w:id="10001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Архитектура информационной безопасности платформы строится в соответствии с требованиями ФЗ-152 «О персональных данных», 115-ФЗ «О противодействии легализации (отмыванию) доходов», а также стандартов PCI DSS (для операций с платежными картами) и ISO 27001. Все персональные данные пользователей хранятся и обрабатываются на территории Российской Федерации в сертифицированных ФСТЭК дата-центрах не ниже уровня УЗИ-1. Шифрование данных в покое и в транзите осуществляется с использованием российских криптоалгоритмов (ГОСТ 28147-89, ГОСТ Р 34.12-2015) в соответствии с требованиями регулятора.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Система мониторинга инцидентов ИБ работает в режиме 24/7 с интеграцией в SOC (Security Operations Center). Реализована система многофакторной аутентификации для всех сотрудников с привилегированным доступом, принцип минимальных привилегий (least privilege) и сегментация сети. Планируется прохождение сертификации ФСТЭК и получение лицензии ФСБ на деятельность в области шифрования. Бюджет на информационную безопасность составляет не менее 15% от общего бюджета разработки.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0F2027"/>
          <w:sz w:val="32"/>
          <w:szCs w:val="32"/>
        </w:rPr>
        <w:t xml:space="preserve">Конкурентный анализ</w:t>
      </w:r>
      <w:bookmarkEnd w:id="100018"/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0F2027"/>
          <w:sz w:val="28"/>
          <w:szCs w:val="28"/>
        </w:rPr>
        <w:t xml:space="preserve">Ландшафт конкуренции</w:t>
      </w:r>
      <w:bookmarkEnd w:id="10001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Ключевой особенностью конкурентного ландшафта является практически полное отсутствие легальных криптовалютных платформ на территории РФ на момент вступления закона в силу. Внешние биржи (Binance, Bybit, OKX и другие), обслуживающие российских пользователей, работают в серой зоне и не могут получить лицензию Банка России в силу юрисдикционных ограничений. Это создаёт уникальное «окно возможностей» для первых лицензированных игроков, позволяя сформировать лояльную клиентскую базу до прихода конкурентов.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Основными конкурентами можно разделить на три категории: глобальные криптобиржи, адаптирующиеся к регуляторным требованиям отдельных юрисдикций; российские финансовые институты (банки и брокеры), имеющие ресурсы для входа на рынок; и новые стартапы, целенаправленно создающиеся для работы в рамках нового закона. Каждая категория имеет свои преимущества и ограничения, которые необходимо учитывать при позиционировании платформы.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Конкурент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Тип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Преимущества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Слабые стороны</w:t>
            </w:r>
          </w:p>
        </w:tc>
        <w:tc>
          <w:tcPr>
            <w:tcW w:type="pct" w:w="17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Угроза для проекта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Binance / Bybit / OKX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Глобальные биржи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Огромная ликвидность, бренд, технологии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 могут получить лицензию ЦБ РФ, юридические риски</w:t>
            </w:r>
          </w:p>
        </w:tc>
        <w:tc>
          <w:tcPr>
            <w:tcW w:type="pct" w:w="17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Т-Банк / Альфа-Банк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Российские банки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Клиентская база, капитал, комплаенс-инфраструктура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Отсутствие крипто-экспертизы, регуляторные риски банка</w:t>
            </w:r>
          </w:p>
        </w:tc>
        <w:tc>
          <w:tcPr>
            <w:tcW w:type="pct" w:w="1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Группа «Цифровая экономика»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Госструктуры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Регуляторный ресурс, доступ к партнёрствам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Бюрократия, медленная разработка</w:t>
            </w:r>
          </w:p>
        </w:tc>
        <w:tc>
          <w:tcPr>
            <w:tcW w:type="pct" w:w="17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Новые стартапы (ATM-онлайн и др.)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Стартапы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Скорость, фокус на крипто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Ограниченные ресурсы, нет клиентской базы</w:t>
            </w:r>
          </w:p>
        </w:tc>
        <w:tc>
          <w:tcPr>
            <w:tcW w:type="pct" w:w="1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Низкая-средняя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4. Конкурентный анализ по основным игрокам рынка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0F2027"/>
          <w:sz w:val="28"/>
          <w:szCs w:val="28"/>
        </w:rPr>
        <w:t xml:space="preserve">Конкурентные преимущества проекта</w:t>
      </w:r>
      <w:bookmarkEnd w:id="10002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Стратегия дифференциации проекта основана на четырёх ключевых столпах. Первый — первый ход на рынке (first-mover advantage): получение лицензии одним из первых позволит сформировать клиентскую базу и сетевой эффект до прихода крупных конкурентов. Второй — кросс-бордер специализация: фокус на международных расчётах создаёт уникальное ценностное предложение, недоступное универсальным биржам. Третий — интегрированная экосистема: объединение биржи, обменника и депозитария в единую платформу обеспечивает бесшовный пользовательский опыт и максимизирует LTV. Четвёртый — регуляторная экспертиза: глубокое понимание требований нового законодательства и выстроенные отношения с Банком России снижают риск регуляторных санкций.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Защита конкурентных преимуществ обеспечивается через: патенты на ключевые технические решения (механизм адрес-идентификаторов, алгоритм мэтчинга с поддержкой GOST-шифрования), эксклюзивные партнёрства с банками-корреспондентами в ключевых коридорах, формирование сети ликвидности с экономией от масштаба, и накопление регуляторного ноу-хау, которое невозможно быстро реплицировать конкурентами. Ожидается, что период устойчивого конкурентного преимущества составит 18-24 месяца после запуска, после чего потребуется переход к конкуренции на основе сервиса и экосистемы.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Calibri" w:eastAsia="SimHei"/>
          <w:b/>
          <w:bCs/>
          <w:color w:val="0F2027"/>
          <w:sz w:val="32"/>
          <w:szCs w:val="32"/>
        </w:rPr>
        <w:t xml:space="preserve">Финансовая модель</w:t>
      </w:r>
      <w:bookmarkEnd w:id="100021"/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0F2027"/>
          <w:sz w:val="28"/>
          <w:szCs w:val="28"/>
        </w:rPr>
        <w:t xml:space="preserve">Капитальные затраты (CAPEX)</w:t>
      </w:r>
      <w:bookmarkEnd w:id="10002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Общий объём капитальных затрат на создание платформы оценивается в диапазоне 105-180 млн рублей, при этом базовый сценарий предполагает инвестиции в размере 135 млн рублей. Основными статьями CAPEX являются: разработка программного обеспечения (45-65 млн рублей), включающая торговый движок, модули KYC/AML, кастодиальную систему и кросс-бордер модуль; информационная безопасность и сертификация (15-25 млн рублей); уставный капитал лицензируемых организаций (от 35 млн рублей для обменника); и инфраструктурные затраты (10-20 млн рублей), включая развёртывание в сертифицированных дата-центрах.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Статья затрат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Минимум, млн руб.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Базовый, млн руб.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Максимум, млн руб.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Разработка ПО (фронтенд, бэкенд, мобильное приложение)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65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Информационная безопасность и сертификация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25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Уставный капитал (обменник + депозитарий)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Инфраструктура (ЦОД, HSM, оборудование)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Юридическое сопровождение и лицензирование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Маркетинг и продвижение (запуск)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ИТОГО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115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145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182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5. Капитальные затраты на создание платформы</w:t>
      </w:r>
    </w:p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0F2027"/>
          <w:sz w:val="28"/>
          <w:szCs w:val="28"/>
        </w:rPr>
        <w:t xml:space="preserve">Операционные затраты (OPEX)</w:t>
      </w:r>
      <w:bookmarkEnd w:id="10002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Ежемесячные операционные затраты платформы на этапе стабилизации (после 12 месяцев работы) оцениваются в 12-18 млн рублей. Основными статьями являются: фонд оплаты труда команды (6-9 млн рублей при штате 40-60 человек), инфраструктура и хостинг (2-3 млн рублей), compliance и юридическое сопровождение (1,5-2,5 млн рублей), маркетинг и привлечение клиентов (1,5-2 млн рублей), и прочие операционные расходы (1-1,5 млн рублей). На этапе запуска (первые 6 месяцев) OPEX может быть снижен до 8-12 млн рублей за счёт меньшего штата и маркетингового бюджета.</w:t>
      </w:r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0F2027"/>
          <w:sz w:val="28"/>
          <w:szCs w:val="28"/>
        </w:rPr>
        <w:t xml:space="preserve">Прогноз выручки и рентабельности</w:t>
      </w:r>
      <w:bookmarkEnd w:id="100024"/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Год 1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Год 2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Год 3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Год 4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Год 5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Выручка, млн руб.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180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540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1 080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1 620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2 250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OPEX, млн руб.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180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216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270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324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390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EBITDA, млн руб.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324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810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1 296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1 860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EBITDA маржа, 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60%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75%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80%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83%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Накопленный Cash Flow, млн руб.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-145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134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674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1 646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3 216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6. Прогноз выручки и рентабельности (базовый сценарий)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0F2027"/>
          <w:sz w:val="28"/>
          <w:szCs w:val="28"/>
        </w:rPr>
        <w:t xml:space="preserve">Расчёт ROI и IRR</w:t>
      </w:r>
      <w:bookmarkEnd w:id="10002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Внутренняя норма доходности (IRR) проекта составляет 28-35% в базовом сценарии при горизонте инвестирования 5 лет. Чистый дисконтированный доход (NPV) при ставке дисконтирования 15% составляет 850-1 200 млн рублей. Срок окупаемости (payback period) — 2,5-3,5 года. Индекс прибыльности (PI) — 3,2-4,5x, что свидетельствует о высокой инвестиционной привлекательности проекта даже с учётом повышенных рисков, характерных для криптовалютной отрасли и новой регуляторной среды.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Сценарий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IRR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NPV (при 15%), млн руб.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Срок окупаемости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PI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Пессимистичный (низкий спрос)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18-22%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250-400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3,5-4,5 года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1,8-2,5x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Базовый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28-35%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850-1 200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2,5-3,5 года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3,2-4,5x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Оптимистичный (высокий спрос)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40-55%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1 800-2 600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1,5-2,5 года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5,0-7,5x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7. Инвестиционные показатели по сценариям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Чувствительность проекта к ключевым параметрам показывает, что наибольшее влияние на NPV оказывают: объём торгов (каждые 10% изменения объёма дают 15-20% изменения NPV), уровень комиссий (каждые 0,1% изменения средней комиссии дают 8-12% изменения NPV) и сроки получения лицензии (каждый месяц задержки снижает NPV на 3-5%). Наименее чувствителен проект к изменениям OPEX, что объясняется высокой операционной маржинальностью криптовалютных платформ при достижении масштаба.</w:t>
      </w:r>
    </w:p>
    <w:p>
      <w:pPr>
        <w:pStyle w:val="Heading1"/>
        <w:spacing w:after="160" w:before="360" w:line="312"/>
      </w:pPr>
      <w:bookmarkStart w:id="100026" w:name="_Toc100026"/>
      <w:r>
        <w:rPr>
          <w:rFonts w:ascii="Calibri" w:eastAsia="SimHei"/>
          <w:b/>
          <w:bCs/>
          <w:color w:val="0F2027"/>
          <w:sz w:val="32"/>
          <w:szCs w:val="32"/>
        </w:rPr>
        <w:t xml:space="preserve">Дорожная карта реализации</w:t>
      </w:r>
      <w:bookmarkEnd w:id="100026"/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0F2027"/>
          <w:sz w:val="28"/>
          <w:szCs w:val="28"/>
        </w:rPr>
        <w:t xml:space="preserve">Фазы проекта</w:t>
      </w:r>
      <w:bookmarkEnd w:id="10002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Реализация проекта разбита на четыре основные фазы, каждая из которых имеет чёткие критерии завершения и контрольные точки. Общая длительность проекта от старта до коммерческого запуска составляет 12-15 месяцев. Параллельное выполнение работ по нескольким фронтам (разработка, лицензирование, партнёрства) позволяет сократить сроки реализации по сравнению с последовательным подходом.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Фаза</w:t>
            </w:r>
          </w:p>
        </w:tc>
        <w:tc>
          <w:tcPr>
            <w:tcW w:type="pct" w:w="1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Сроки</w:t>
            </w:r>
          </w:p>
        </w:tc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Ключевые задачи</w:t>
            </w:r>
          </w:p>
        </w:tc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Фаза 1: Подготовка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Месяцы 1-3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Юридическая структура, заявка на лицензию, архитектура, привлечение ядра команды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Зарегистрированные юрлица, поданная заявка на лицензию, архитектурный документ, ядро команды 15 человек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Фаза 2: Разработка MVP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Месяцы 3-8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Разработка торгового движка, модуля KYC, кастодиальной системы, интеграция с партнёрами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MVP платформы, готовый к нагрузочному тестированию, интеграция с 1+ банком-партнёром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Фаза 3: Тестирование и сертификация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Месяцы 8-11</w:t>
            </w:r>
          </w:p>
        </w:tc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Нагрузочное тестирование, пентесты, сертификация ФСТЭК, получение лицензии ЦБ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Лицензия получена, система сертифицирована, готовность к коммерческому запуску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Фаза 4: Запуск и масштабирование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Месяцы 11-15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Soft launch, маркетинговая кампания, подключение коридоров, расширение торговых пар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Коммерческая эксплуатация, 10 000+ верифицированных пользователей, 5+ торговых коридоров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8. Дорожная карта реализации проекта</w:t>
      </w:r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0F2027"/>
          <w:sz w:val="28"/>
          <w:szCs w:val="28"/>
        </w:rPr>
        <w:t xml:space="preserve">Команда и ресурсы</w:t>
      </w:r>
      <w:bookmarkEnd w:id="10002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Формирование команды является одним из критических факторов успеха проекта. На этапе подготовки (первые 3 месяца) необходимо привлечь ядро команды из 12-15 человек: CTO с опытом высоконагруженных финансовых систем, Head of Compliance с экспертизой в 115-ФЗ и криптовалютном регулировании, 4-5 senior-разработчиков (Go/Rust для бэкенда, React/TypeScript для фронтенда), DevOps-инженер, специалист по информационной безопасности и юрист-специалист по цифровым активам. К моменту запуска штат должен вырасти до 40-60 человек с выделенными командами по каждому продуктовому домену.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Особый дефицит на рынке труда представляют специалисты на стыке криптовалютной экспертизы и российского финансового регулирования. Рекомендуется привлечение консультантов из действующих криптобирж и банков с опытом внедрения AML/KYC-систем, а также сотрудничество с профильными факультетами ведущих технических вузов для формирования кадрового резерва. Бюджет на привлечение и удержание талантов составляет 35-40% от общих операционных расходов.</w:t>
      </w:r>
    </w:p>
    <w:p>
      <w:pPr>
        <w:pStyle w:val="Heading1"/>
        <w:spacing w:after="160" w:before="360" w:line="312"/>
      </w:pPr>
      <w:bookmarkStart w:id="100029" w:name="_Toc100029"/>
      <w:r>
        <w:rPr>
          <w:rFonts w:ascii="Calibri" w:eastAsia="SimHei"/>
          <w:b/>
          <w:bCs/>
          <w:color w:val="0F2027"/>
          <w:sz w:val="32"/>
          <w:szCs w:val="32"/>
        </w:rPr>
        <w:t xml:space="preserve">Анализ рисков и стратегии митигации</w:t>
      </w:r>
      <w:bookmarkEnd w:id="10002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Проект функционирует в среде с повышенным уровнем неопределённости, обусловленной как регуляторными факторами (новизна законодательства), так и рыночными (волатильность криптовалютного рынка, геополитическая ситуация). Систематическая идентификация и митигация рисков является обязательным условием сохранения инвестиционной привлекательности проекта.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Риск</w:t>
            </w:r>
          </w:p>
        </w:tc>
        <w:tc>
          <w:tcPr>
            <w:tcW w:type="pct" w:w="1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Вероятность</w:t>
            </w:r>
          </w:p>
        </w:tc>
        <w:tc>
          <w:tcPr>
            <w:tcW w:type="pct" w:w="1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Влияние</w:t>
            </w:r>
          </w:p>
        </w:tc>
        <w:tc>
          <w:tcPr>
            <w:tcW w:type="pct" w:w="49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Стратегия митигации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Задержка или отказ в лицензии ЦБ РФ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Критическое</w:t>
            </w:r>
          </w:p>
        </w:tc>
        <w:tc>
          <w:tcPr>
            <w:tcW w:type="pct" w:w="49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Раннее взаимодействие с регулятором, консервативная архитектура, план B с фокусом на обменник (низший порог входа)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Ужесточение регулирования (запрос дополнительных требований)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Высокое</w:t>
            </w:r>
          </w:p>
        </w:tc>
        <w:tc>
          <w:tcPr>
            <w:tcW w:type="pct" w:w="4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Проактивный compliance-мониторинг, участие в экспертных группах, модульная архитектура для быстрой адаптации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Кибератака / потеря активов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Критическое</w:t>
            </w:r>
          </w:p>
        </w:tc>
        <w:tc>
          <w:tcPr>
            <w:tcW w:type="pct" w:w="49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Многоуровневая безопасность, страхование активов, регулярные пентесты, bug bounty программа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Технический сбой / простой платформы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Высокое</w:t>
            </w:r>
          </w:p>
        </w:tc>
        <w:tc>
          <w:tcPr>
            <w:tcW w:type="pct" w:w="4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Географически распределённая инфраструктура, автоматический failover, стресс-тестирование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Низкий спрос / медленный рост клиентской базы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Высокое</w:t>
            </w:r>
          </w:p>
        </w:tc>
        <w:tc>
          <w:tcPr>
            <w:tcW w:type="pct" w:w="49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Диверсификация каналов привлечения, фокус на B2B-сегмент, программа лояльности для первых пользователей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Геополитическая эскалация (новые санкции)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Среднее</w:t>
            </w:r>
          </w:p>
        </w:tc>
        <w:tc>
          <w:tcPr>
            <w:tcW w:type="pct" w:w="4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Диверсификация коридоров, развитие partnerships в дружественных юрисдикциях, хеджирование валютных рисков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Вход крупного конкурента (банк с лицензией)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1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Среднее</w:t>
            </w:r>
          </w:p>
        </w:tc>
        <w:tc>
          <w:tcPr>
            <w:tcW w:type="pct" w:w="49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Накопление лояльной базы, уникальный функционал, скорость инноваций, специализация на кросс-бордер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Волатильность криптовалютного рынка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Среднее</w:t>
            </w:r>
          </w:p>
        </w:tc>
        <w:tc>
          <w:tcPr>
            <w:tcW w:type="pct" w:w="4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Диверсификация доходов, стабилизационный резерв, фиатные коридоры как буфер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9. Матрица рисков и стратегий митигации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Совокупный риск-профиль проекта оценивается как «умеренно-высокий», что соответствует стадии венчурного инвестирования в FinTech-проекты на ранней стадии. Наиболее критичными являются регуляторные риски, которые не могут быть полностью устранены и требуют постоянного мониторинга и адаптации. Рекомендуется формирование регуляторного резерва в размере 10-15% от общего бюджета проекта для оперативного реагирования на изменения в законодательстве и требованиях Банка России.</w:t>
      </w:r>
    </w:p>
    <w:p>
      <w:pPr>
        <w:pStyle w:val="Heading1"/>
        <w:spacing w:after="160" w:before="360" w:line="312"/>
      </w:pPr>
      <w:bookmarkStart w:id="100030" w:name="_Toc100030"/>
      <w:r>
        <w:rPr>
          <w:rFonts w:ascii="Calibri" w:eastAsia="SimHei"/>
          <w:b/>
          <w:bCs/>
          <w:color w:val="0F2027"/>
          <w:sz w:val="32"/>
          <w:szCs w:val="32"/>
        </w:rPr>
        <w:t xml:space="preserve">Выводы и рекомендации</w:t>
      </w:r>
      <w:bookmarkEnd w:id="100030"/>
    </w:p>
    <w:p>
      <w:pPr>
        <w:pStyle w:val="Heading2"/>
        <w:spacing w:after="120" w:before="240" w:line="312"/>
      </w:pPr>
      <w:bookmarkStart w:id="100031" w:name="_Toc100031"/>
      <w:r>
        <w:rPr>
          <w:rFonts w:ascii="Calibri" w:eastAsia="SimHei"/>
          <w:b/>
          <w:bCs/>
          <w:color w:val="0F2027"/>
          <w:sz w:val="28"/>
          <w:szCs w:val="28"/>
        </w:rPr>
        <w:t xml:space="preserve">Итоговая оценка инвестиционной привлекательности</w:t>
      </w:r>
      <w:bookmarkEnd w:id="10003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основании проведённого анализа проект создания криптовалютной платформы, соответствующей законодательству Российской Федерации, оценивается как инвестиционно привлекательный с рейтингом «рекомендован к инвестициям» при выполнении следующих условий: получение лицензии Банка России в установленные сроки, привлечение финансирования в объёме не менее 145 млн рублей (базовый сценарий), формирование команды с соответствующей экспертизой в сроки до 3 месяцев, и фокусировка на кросс-бордер платёжном коридоре как основном источнике доходов.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Проект обладает рядом уникальных конкурентных преимуществ: первый ход на формирующемся легальном рынке, стратегическая значимость кросс-бордер расчётов в условиях санкционных ограничений, и высокая маржинальность криптовалютного бизнеса при достижении операционного масштаба. Расчётный IRR 28-35% и PI 3,2-4,5x значительно превышают пороговые значения для венчурных инвестиций в FinTech-сектор, а срок окупаемости 2,5-3,5 года является приемлемым для проекта данного масштаба и уровня риска.</w:t>
      </w:r>
    </w:p>
    <w:p>
      <w:pPr>
        <w:pStyle w:val="Heading2"/>
        <w:spacing w:after="120" w:before="240" w:line="312"/>
      </w:pPr>
      <w:bookmarkStart w:id="100032" w:name="_Toc100032"/>
      <w:r>
        <w:rPr>
          <w:rFonts w:ascii="Calibri" w:eastAsia="SimHei"/>
          <w:b/>
          <w:bCs/>
          <w:color w:val="0F2027"/>
          <w:sz w:val="28"/>
          <w:szCs w:val="28"/>
        </w:rPr>
        <w:t xml:space="preserve">Рекомендации по реализации</w:t>
      </w:r>
      <w:bookmarkEnd w:id="10003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Первоочередные действия, которые необходимо предпринять в ближайшие 30 дней для обеспечения успешного запуска проекта: формирование юридической структуры (регистрация юридических лиц для каждого типа лицензируемой деятельности), подача предварительной заявки на консультацию с Банком России по вопросам лицензирования, привлечение CTO и Head of Compliance как ключевых сотрудников, определение банков-партнёров для кросс-бордер коридоров, и начало переговоров с инвесторами о привлечении seed-раунда финансирования.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Критическими факторами успеха являются: скорость получения лицензии (каждый месяц задержки снижает NPV на 3-5%), качество команды (дефицит специалистов на стыке криптовалют и российского финансового регулирования), и способность сформировать ликвидность в первые месяцы работы (через partnership с внешними маркет-мейкерами и интеграцию с зарубежными биржами). Рекомендуется рассмотрение возможности стратегического партнёрства с одним из крупных российских банков для обеспечения клиентской базы и инфраструктурной поддержки на этапе запуска.</w:t>
      </w:r>
    </w:p>
    <w:p>
      <w:pPr>
        <w:pStyle w:val="Heading2"/>
        <w:spacing w:after="120" w:before="240" w:line="312"/>
      </w:pPr>
      <w:bookmarkStart w:id="100033" w:name="_Toc100033"/>
      <w:r>
        <w:rPr>
          <w:rFonts w:ascii="Calibri" w:eastAsia="SimHei"/>
          <w:b/>
          <w:bCs/>
          <w:color w:val="0F2027"/>
          <w:sz w:val="28"/>
          <w:szCs w:val="28"/>
        </w:rPr>
        <w:t xml:space="preserve">Следующие шаги</w:t>
      </w:r>
      <w:bookmarkEnd w:id="10003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принятия окончательного инвестиционного решения рекомендуется провести углублённый анализ по следующим направлениям: детализация технической архитектуры с привлечением внешнего аудитора, подтверждение регуляторных допущений через прямые консультации с Банком России, верификация коммерческих предположений через опрос потенциальных клиентов (B2B-сегмент), и анализ возможности стратегического партнёрства с финансовыми институтами. Рекомендуемый бюджет на прединвестиционную стадию (due diligence) составляет 3-5 млн рублей с сроком выполнения 6-8 недель.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PRD | Криптовалютная платформа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PRD | Криптовалютная платформа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F202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2026-06-16T07:53:32.826Z</dcterms:created>
  <dcterms:modified xsi:type="dcterms:W3CDTF">2026-06-16T07:53:32.826Z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