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DA30B" w14:textId="77777777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Supported the execution of a EUR 230 million sell-side transaction in the Industrials sector by taking ownership of key execution workstreams across multiple phases of the transaction</w:t>
      </w:r>
    </w:p>
    <w:p w14:paraId="6B7496D7" w14:textId="77777777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Built and maintained integrated operating and valuation models, including forecasting, mapping and financial adjustments, and performed valuation analyses using Trading Comps, Transaction Comps, LBO and Sum-of-the-Parts methodologies</w:t>
      </w:r>
    </w:p>
    <w:p w14:paraId="72CB98A2" w14:textId="77777777" w:rsid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Prepared client-facing marketing materials, including pitch books and Information Memoranda, across Healthcare, Technology, Business Services, Industrials and Automotive mandates</w:t>
      </w:r>
    </w:p>
    <w:p w14:paraId="377F70B2" w14:textId="5BE1D950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Took ownership of private equity coverage, maintaining investor intelligence, preparing fund profiles and supporting origination initiatives across multiple sectors.</w:t>
      </w:r>
    </w:p>
    <w:p w14:paraId="07AB79AA" w14:textId="77777777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Conducted strategic and financial buyer screening, including the preparation of longlists, buyer profiles, private equity coverage analyses and buyer trackers for international sale processes</w:t>
      </w:r>
    </w:p>
    <w:p w14:paraId="58671725" w14:textId="77777777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Supported the preparation and execution of management presentations, participated in client workshops, and contributed to client interactions and buyer discussions throughout live sell-side transaction processes</w:t>
      </w:r>
    </w:p>
    <w:p w14:paraId="05EFBC9D" w14:textId="77777777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Performed detailed quality reviews of financial models and transaction documentation to ensure accuracy, consistency and execution quality across client deliverables</w:t>
      </w:r>
    </w:p>
    <w:p w14:paraId="27A59783" w14:textId="5DD274B8" w:rsidR="00A810A4" w:rsidRPr="00A810A4" w:rsidRDefault="00A810A4" w:rsidP="00A810A4">
      <w:pPr>
        <w:numPr>
          <w:ilvl w:val="0"/>
          <w:numId w:val="1"/>
        </w:numPr>
        <w:rPr>
          <w:sz w:val="20"/>
          <w:szCs w:val="20"/>
          <w:lang w:val="en-US"/>
        </w:rPr>
      </w:pPr>
      <w:r w:rsidRPr="00A810A4">
        <w:rPr>
          <w:sz w:val="20"/>
          <w:szCs w:val="20"/>
          <w:lang w:val="en-US"/>
        </w:rPr>
        <w:t>Worked directly with Associates, Vice Presidents and Managing Directors while independently driving analytical and execution-related workstreams across multiple live M&amp;A mandates</w:t>
      </w:r>
    </w:p>
    <w:sectPr w:rsidR="00A810A4" w:rsidRPr="00A810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1286B"/>
    <w:multiLevelType w:val="multilevel"/>
    <w:tmpl w:val="7620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57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0A4"/>
    <w:rsid w:val="000975B4"/>
    <w:rsid w:val="00A810A4"/>
    <w:rsid w:val="00A913D7"/>
    <w:rsid w:val="00CF0074"/>
    <w:rsid w:val="00FD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23349"/>
  <w15:chartTrackingRefBased/>
  <w15:docId w15:val="{73789FCB-A185-4CC7-B2C8-B2DC46F3F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0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Schramek</dc:creator>
  <cp:keywords/>
  <dc:description/>
  <cp:lastModifiedBy>Mia Schramek</cp:lastModifiedBy>
  <cp:revision>1</cp:revision>
  <dcterms:created xsi:type="dcterms:W3CDTF">2026-06-26T08:57:00Z</dcterms:created>
  <dcterms:modified xsi:type="dcterms:W3CDTF">2026-06-26T09:00:00Z</dcterms:modified>
</cp:coreProperties>
</file>