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D06B4E3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 Gribanov</w:t>
      </w:r>
    </w:p>
    <w:p w14:paraId="4298156A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Am Eichenplatz 12a</w:t>
      </w:r>
    </w:p>
    <w:p w14:paraId="5F7A546E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22549 Hamburg</w:t>
      </w:r>
    </w:p>
    <w:p w14:paraId="7305E064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Germany</w:t>
      </w:r>
    </w:p>
    <w:p w14:paraId="437E53C4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alexander.gribanov2008@gmail.com</w:t>
      </w:r>
    </w:p>
    <w:p w14:paraId="60604E5B" w14:textId="07211B15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 xml:space="preserve">+49 </w:t>
      </w:r>
      <w:r w:rsidR="007405CF">
        <w:rPr>
          <w:rFonts w:ascii="Georgia" w:hAnsi="Georgia" w:cs="Times New Roman"/>
          <w:sz w:val="21"/>
          <w:szCs w:val="21"/>
        </w:rPr>
        <w:t>17695156448</w:t>
      </w:r>
    </w:p>
    <w:p w14:paraId="4FFA7063" w14:textId="702B210B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Rothschild &amp; Co</w:t>
      </w:r>
    </w:p>
    <w:p w14:paraId="69AAF630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New Court, St Swithin’s Lane</w:t>
      </w:r>
    </w:p>
    <w:p w14:paraId="5EB37650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London EC4N 8AL</w:t>
      </w:r>
    </w:p>
    <w:p w14:paraId="25CEC3F7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United Kingdom</w:t>
      </w:r>
    </w:p>
    <w:p w14:paraId="08409999" w14:textId="54763D9C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 xml:space="preserve">Hamburg, </w:t>
      </w:r>
      <w:r w:rsidR="007405CF">
        <w:rPr>
          <w:rFonts w:ascii="Georgia" w:hAnsi="Georgia" w:cs="Times New Roman"/>
          <w:sz w:val="21"/>
          <w:szCs w:val="21"/>
        </w:rPr>
        <w:t>23.07.2027</w:t>
      </w:r>
    </w:p>
    <w:p w14:paraId="545B5699" w14:textId="248B7C08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F705824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Application for the 2027 UK Global Advisory Spring Insight Programme</w:t>
      </w:r>
    </w:p>
    <w:p w14:paraId="31514545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Global Advisory</w:t>
      </w:r>
    </w:p>
    <w:p w14:paraId="15DB34DF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8FF1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Dear Sir or Madam,</w:t>
      </w:r>
    </w:p>
    <w:p w14:paraId="15880975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EDF9B0F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Investment banking appeals to me as the discipline where trust is earned decision by decision: understanding what a company truly needs and guiding its owners and boards through choices that cannot be undone. Nowhere does that thread run deeper than at Rothschild &amp; Co, which has advised companies, families and governments from New Court for over two centuries — with the involvement of the Rothschild family still shaping the business today. I am applying for the UK Global Advisory Spring Insight Programme 2027 because I want to see how relationships of that depth are built and honoured.</w:t>
      </w:r>
    </w:p>
    <w:p w14:paraId="034C41DB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F8712E7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My own record reflects ambition pursued with consistency. I completed my Abitur in June 2026 with a grade of 1.2 and have now begun my B.Sc. in Business Administration at the University of Mannheim — Germany’s leading target university for investment banking, ranked first nationally for accounting and finance in the QS World University Rankings by Subject 2025. Before university, I had already completed two finance internships: at Braemar Naves Corporate Finance, a specialised Hamburg advisory house for the maritime sector, I saw how trusted client relationships anchor every mandate, while at MPC Capital, a listed asset and investment manager, I observed how investment decisions are researched and executed. Tutoring, volunteering, leading two school sports clubs and serving as class representative have taught me clear communication and responsibility.</w:t>
      </w:r>
    </w:p>
    <w:p w14:paraId="1BECDF12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9367407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Rothschild &amp; Co’s recent work shows why the model endures. As one of the advisers to the board of Spectris during KKR’s roughly £4.7 billion takeover — a contested bid battle fought over months — the firm helped steer shareholders towards a decisively improved outcome. At the same time, few houses handle more M&amp;A mandates across Europe year after year, so juniors learn on an exceptional breadth of live situations spanning M&amp;A, debt and restructuring, and equity advisory. Discretion, judgement and constant deal flow: that combination is exactly what I hope to learn from.</w:t>
      </w:r>
    </w:p>
    <w:p w14:paraId="690E1D1D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D7FC2F1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Three points summarise my candidacy: (1) outstanding academics paired with unusually early exposure to advisory work; (2) a tested, self-driven passion for finance, from financial modelling to following transactions; and (3) the commercial awareness and team spirit your programme asks for, proven through internships, tutoring and school leadership. I would be delighted to discuss my application at an interview.</w:t>
      </w:r>
    </w:p>
    <w:p w14:paraId="0966767D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ADC523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Yours faithfully,</w:t>
      </w:r>
    </w:p>
    <w:p w14:paraId="314A88F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Alexander Gribanov</w:t>
      </w:r>
    </w:p>
    <w:sectPr w:rsidR="00E65B09" w:rsidRPr="00E65B09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296A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405CF"/>
    <w:rsid w:val="007472BD"/>
    <w:rsid w:val="00755A3D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A256E"/>
    <w:rsid w:val="009D07DC"/>
    <w:rsid w:val="009D3BBF"/>
    <w:rsid w:val="009F46A7"/>
    <w:rsid w:val="00A1282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2419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WWW</cp:lastModifiedBy>
  <cp:revision>4</cp:revision>
  <dcterms:created xsi:type="dcterms:W3CDTF">2020-08-26T10:31:00Z</dcterms:created>
  <dcterms:modified xsi:type="dcterms:W3CDTF">2026-07-23T18:22:00Z</dcterms:modified>
</cp:coreProperties>
</file>