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0CBCD" w14:textId="77777777" w:rsidR="004D0BB3" w:rsidRPr="004D0BB3" w:rsidRDefault="004D0BB3" w:rsidP="00356805">
      <w:pPr>
        <w:jc w:val="both"/>
        <w:rPr>
          <w:b/>
          <w:bCs/>
          <w:sz w:val="23"/>
          <w:szCs w:val="23"/>
          <w:lang w:val="en-GB"/>
        </w:rPr>
      </w:pPr>
      <w:r w:rsidRPr="004D0BB3">
        <w:rPr>
          <w:b/>
          <w:bCs/>
          <w:sz w:val="23"/>
          <w:szCs w:val="23"/>
          <w:lang w:val="en-GB"/>
        </w:rPr>
        <w:t>Bridge Diplomacy 2.0: How the Transatlantic Alliance Leads Again</w:t>
      </w:r>
    </w:p>
    <w:p w14:paraId="2467689A" w14:textId="77777777" w:rsidR="004D0BB3" w:rsidRPr="004D0BB3" w:rsidRDefault="004D0BB3" w:rsidP="00356805">
      <w:pPr>
        <w:jc w:val="both"/>
        <w:rPr>
          <w:sz w:val="23"/>
          <w:szCs w:val="23"/>
          <w:lang w:val="en-GB"/>
        </w:rPr>
      </w:pPr>
      <w:r w:rsidRPr="004D0BB3">
        <w:rPr>
          <w:sz w:val="23"/>
          <w:szCs w:val="23"/>
          <w:lang w:val="en-GB"/>
        </w:rPr>
        <w:t xml:space="preserve">I spent my early school years in a living fragment of transatlantic history: a </w:t>
      </w:r>
      <w:proofErr w:type="gramStart"/>
      <w:r w:rsidRPr="004D0BB3">
        <w:rPr>
          <w:sz w:val="23"/>
          <w:szCs w:val="23"/>
          <w:lang w:val="en-GB"/>
        </w:rPr>
        <w:t>German–English</w:t>
      </w:r>
      <w:proofErr w:type="gramEnd"/>
      <w:r w:rsidRPr="004D0BB3">
        <w:rPr>
          <w:sz w:val="23"/>
          <w:szCs w:val="23"/>
          <w:lang w:val="en-GB"/>
        </w:rPr>
        <w:t xml:space="preserve"> primary school in Berlin that once served the children of American soldiers, directly across from the United States Embassy. Apart from a few US-specific holidays, our calendar and curriculum reflected a shared worldview in which Germany and the United States stood side by side.</w:t>
      </w:r>
    </w:p>
    <w:p w14:paraId="2E249E2F" w14:textId="5101922A" w:rsidR="004D0BB3" w:rsidRPr="004D0BB3" w:rsidRDefault="004D0BB3" w:rsidP="00356805">
      <w:pPr>
        <w:jc w:val="both"/>
        <w:rPr>
          <w:sz w:val="23"/>
          <w:szCs w:val="23"/>
          <w:lang w:val="en-GB"/>
        </w:rPr>
      </w:pPr>
      <w:r w:rsidRPr="004D0BB3">
        <w:rPr>
          <w:sz w:val="23"/>
          <w:szCs w:val="23"/>
          <w:lang w:val="en-GB"/>
        </w:rPr>
        <w:t xml:space="preserve">That closeness built a more peaceful world. It produced the Marshall Plan, which rebuilt economies, stabilised democracies and turned a recent enemy into a partner. It showed that when the alliance acts with generosity and strategy, it can change history. Yet closeness can become an echo. When we speak mainly to each other, we miss where power and population are growing. </w:t>
      </w:r>
      <w:r w:rsidR="00DF654D" w:rsidRPr="00EB347D">
        <w:rPr>
          <w:sz w:val="23"/>
          <w:szCs w:val="23"/>
        </w:rPr>
        <w:t>The next era demands something different: not only an alliance that protects, but a bridge that connects. Call it Bridge Diplomacy 2.0.</w:t>
      </w:r>
    </w:p>
    <w:p w14:paraId="4DD53A6E" w14:textId="01AA3E30" w:rsidR="004D0BB3" w:rsidRPr="004D0BB3" w:rsidRDefault="004D0BB3" w:rsidP="00356805">
      <w:pPr>
        <w:jc w:val="both"/>
        <w:rPr>
          <w:sz w:val="23"/>
          <w:szCs w:val="23"/>
          <w:lang w:val="en-GB"/>
        </w:rPr>
      </w:pPr>
      <w:r w:rsidRPr="004D0BB3">
        <w:rPr>
          <w:sz w:val="23"/>
          <w:szCs w:val="23"/>
          <w:lang w:val="en-GB"/>
        </w:rPr>
        <w:t>Credibility is the foundation of that bridge. The West’s rapid, united response to Russia’s invasion of Ukraine contrasted with slower reactions to other devastating conflicts. Many in the Global South see this as proof that principles are applied most forcefully when strategic interests are at stake. The remedy should be as clear as the critique: adopt a Consistency Charter linking assistance, sanctions and civilian</w:t>
      </w:r>
      <w:r w:rsidR="00893ADE">
        <w:rPr>
          <w:sz w:val="23"/>
          <w:szCs w:val="23"/>
          <w:lang w:val="en-GB"/>
        </w:rPr>
        <w:t xml:space="preserve"> </w:t>
      </w:r>
      <w:r w:rsidRPr="004D0BB3">
        <w:rPr>
          <w:sz w:val="23"/>
          <w:szCs w:val="23"/>
          <w:lang w:val="en-GB"/>
        </w:rPr>
        <w:t>protection support to defined thresholds of violence</w:t>
      </w:r>
      <w:r w:rsidR="00DF654D" w:rsidRPr="00EB347D">
        <w:rPr>
          <w:sz w:val="23"/>
          <w:szCs w:val="23"/>
          <w:lang w:val="en-GB"/>
        </w:rPr>
        <w:t>,</w:t>
      </w:r>
      <w:r w:rsidRPr="004D0BB3">
        <w:rPr>
          <w:sz w:val="23"/>
          <w:szCs w:val="23"/>
          <w:lang w:val="en-GB"/>
        </w:rPr>
        <w:t xml:space="preserve"> publish an annual transatlantic scorecard on human rights that includes self-assessment</w:t>
      </w:r>
      <w:r w:rsidR="00DF654D" w:rsidRPr="00EB347D">
        <w:rPr>
          <w:sz w:val="23"/>
          <w:szCs w:val="23"/>
          <w:lang w:val="en-GB"/>
        </w:rPr>
        <w:t>,</w:t>
      </w:r>
      <w:r w:rsidRPr="004D0BB3">
        <w:rPr>
          <w:sz w:val="23"/>
          <w:szCs w:val="23"/>
          <w:lang w:val="en-GB"/>
        </w:rPr>
        <w:t xml:space="preserve"> and create a joint fund for independent investigations so facts arrive before narratives harden. Bridge Diplomacy 2.0 ties moral purpose to measurable practice; when credibility rises, coalitions grow.</w:t>
      </w:r>
    </w:p>
    <w:p w14:paraId="5D7C7073" w14:textId="77777777" w:rsidR="00164812" w:rsidRPr="00EB347D" w:rsidRDefault="00164812" w:rsidP="00356805">
      <w:pPr>
        <w:jc w:val="both"/>
        <w:rPr>
          <w:sz w:val="23"/>
          <w:szCs w:val="23"/>
          <w:lang w:val="en-GB"/>
        </w:rPr>
      </w:pPr>
    </w:p>
    <w:p w14:paraId="082F6123" w14:textId="28ABAF9A" w:rsidR="004D0BB3" w:rsidRPr="004D0BB3" w:rsidRDefault="004D0BB3" w:rsidP="00356805">
      <w:pPr>
        <w:jc w:val="both"/>
        <w:rPr>
          <w:sz w:val="23"/>
          <w:szCs w:val="23"/>
          <w:lang w:val="en-GB"/>
        </w:rPr>
      </w:pPr>
      <w:r w:rsidRPr="004D0BB3">
        <w:rPr>
          <w:sz w:val="23"/>
          <w:szCs w:val="23"/>
          <w:lang w:val="en-GB"/>
        </w:rPr>
        <w:t>Africa should be at the heart of this outreach. By 2050 the continent’s population will double to 2.5 billion, with a median age under 20. It holds a significant share of the minerals needed for the energy transition and is home to some of the fastest-growing cities and most inventive tech hubs. Too often, the West treated Africa as a resource depot or an aid recipient, not as a partner.</w:t>
      </w:r>
    </w:p>
    <w:p w14:paraId="1CAE20A8" w14:textId="77777777" w:rsidR="004D0BB3" w:rsidRPr="004D0BB3" w:rsidRDefault="004D0BB3" w:rsidP="00356805">
      <w:pPr>
        <w:jc w:val="both"/>
        <w:rPr>
          <w:sz w:val="23"/>
          <w:szCs w:val="23"/>
          <w:lang w:val="en-GB"/>
        </w:rPr>
      </w:pPr>
      <w:r w:rsidRPr="004D0BB3">
        <w:rPr>
          <w:sz w:val="23"/>
          <w:szCs w:val="23"/>
          <w:lang w:val="en-GB"/>
        </w:rPr>
        <w:t>A Renewable Energy Marshall Plan can change this. Focus on renewable energy, grids and skills. Create a blended-finance facility to lower the cost of capital for clean power projects, backed by local-currency guarantees. Fund regional transmission corridors and storage so power can move across borders and scale industry. Pair this with university and vocational partnerships that train engineers, grid operators and entrepreneurs. Open markets matter too: reduce tariff and non-tariff barriers for value-added African exports while enforcing shared labour and environmental standards. Reliable clean energy and fairer market access strengthen partners, diversify supply chains and anchor shared growth; renewable power cuts emissions, modern grids enable cross-border trade, and skills build lasting local ownership. That is Bridge Diplomacy 2.0 in practice.</w:t>
      </w:r>
    </w:p>
    <w:p w14:paraId="53B24CF6" w14:textId="179D9332" w:rsidR="00972790" w:rsidRDefault="004D0BB3" w:rsidP="00356805">
      <w:pPr>
        <w:jc w:val="both"/>
        <w:rPr>
          <w:sz w:val="23"/>
          <w:szCs w:val="23"/>
          <w:lang w:val="en-GB"/>
        </w:rPr>
      </w:pPr>
      <w:r w:rsidRPr="004D0BB3">
        <w:rPr>
          <w:sz w:val="23"/>
          <w:szCs w:val="23"/>
          <w:lang w:val="en-GB"/>
        </w:rPr>
        <w:t>China’s Belt and Road financing has filled gaps with speed. A credible transatlantic alternative, co-designed with African governments, should compete on quality, transparency and long-term value, not on debt dependence.</w:t>
      </w:r>
    </w:p>
    <w:p w14:paraId="201D6E03" w14:textId="77777777" w:rsidR="00EB347D" w:rsidRPr="00EB347D" w:rsidRDefault="00EB347D" w:rsidP="00356805">
      <w:pPr>
        <w:jc w:val="both"/>
        <w:rPr>
          <w:sz w:val="23"/>
          <w:szCs w:val="23"/>
          <w:lang w:val="en-GB"/>
        </w:rPr>
      </w:pPr>
    </w:p>
    <w:p w14:paraId="0CA18890" w14:textId="386CA96D" w:rsidR="004D0BB3" w:rsidRPr="00EB347D" w:rsidRDefault="004D0BB3" w:rsidP="00356805">
      <w:pPr>
        <w:jc w:val="both"/>
        <w:rPr>
          <w:sz w:val="23"/>
          <w:szCs w:val="23"/>
          <w:lang w:val="en-GB"/>
        </w:rPr>
      </w:pPr>
      <w:r w:rsidRPr="004D0BB3">
        <w:rPr>
          <w:sz w:val="23"/>
          <w:szCs w:val="23"/>
          <w:lang w:val="en-GB"/>
        </w:rPr>
        <w:lastRenderedPageBreak/>
        <w:t>Partnerships in Africa are only one part of securing the alliance’s future. The other is shaping the rules of the industries and technologies that will define the next generation of growth and security. Rules for AI, data use, clean-tech supply chains and zero carbon industry will shape prosperity for decades</w:t>
      </w:r>
      <w:r w:rsidR="00972790" w:rsidRPr="00EB347D">
        <w:rPr>
          <w:sz w:val="23"/>
          <w:szCs w:val="23"/>
          <w:lang w:val="en-GB"/>
        </w:rPr>
        <w:t>.</w:t>
      </w:r>
      <w:r w:rsidRPr="004D0BB3">
        <w:rPr>
          <w:sz w:val="23"/>
          <w:szCs w:val="23"/>
          <w:lang w:val="en-GB"/>
        </w:rPr>
        <w:t xml:space="preserve"> </w:t>
      </w:r>
      <w:r w:rsidR="00972790" w:rsidRPr="00EB347D">
        <w:rPr>
          <w:sz w:val="23"/>
          <w:szCs w:val="23"/>
          <w:lang w:val="en-GB"/>
        </w:rPr>
        <w:t>I</w:t>
      </w:r>
      <w:r w:rsidRPr="004D0BB3">
        <w:rPr>
          <w:sz w:val="23"/>
          <w:szCs w:val="23"/>
          <w:lang w:val="en-GB"/>
        </w:rPr>
        <w:t xml:space="preserve">f the alliance does not set high standards early, others will set lower ones. Launch a Transatlantic Compact aligning the United States, the European Union and key partners on three fronts: </w:t>
      </w:r>
      <w:r w:rsidR="0054799F" w:rsidRPr="00EB347D">
        <w:rPr>
          <w:sz w:val="23"/>
          <w:szCs w:val="23"/>
        </w:rPr>
        <w:t>interoperable AI and data protections; common product standards for batteries, solar, wind and hydrogen, tested through pilots such as solar manufacturing in Morocco and green hydrogen production in Namibia; and a trusted-supplier framework for critical minerals with open accession paths for the African Union, ASEAN and selected Latin American partners.</w:t>
      </w:r>
      <w:r w:rsidRPr="004D0BB3">
        <w:rPr>
          <w:sz w:val="23"/>
          <w:szCs w:val="23"/>
          <w:lang w:val="en-GB"/>
        </w:rPr>
        <w:t xml:space="preserve"> Bridge Diplomacy 2.0 works when standards are inclusive by design.</w:t>
      </w:r>
    </w:p>
    <w:p w14:paraId="1F7B4C69" w14:textId="77777777" w:rsidR="0054799F" w:rsidRPr="004D0BB3" w:rsidRDefault="0054799F" w:rsidP="00356805">
      <w:pPr>
        <w:jc w:val="both"/>
        <w:rPr>
          <w:sz w:val="23"/>
          <w:szCs w:val="23"/>
          <w:lang w:val="en-GB"/>
        </w:rPr>
      </w:pPr>
    </w:p>
    <w:p w14:paraId="2C00A839" w14:textId="77777777" w:rsidR="004D0BB3" w:rsidRPr="004D0BB3" w:rsidRDefault="004D0BB3" w:rsidP="00356805">
      <w:pPr>
        <w:jc w:val="both"/>
        <w:rPr>
          <w:sz w:val="23"/>
          <w:szCs w:val="23"/>
          <w:lang w:val="en-GB"/>
        </w:rPr>
      </w:pPr>
      <w:r w:rsidRPr="004D0BB3">
        <w:rPr>
          <w:sz w:val="23"/>
          <w:szCs w:val="23"/>
          <w:lang w:val="en-GB"/>
        </w:rPr>
        <w:t>Setting ambitious standards is vital, but without the right platform to negotiate, enforce and adapt them, they will remain on paper. Establish a Transatlantic and Global South Council as a standing forum alongside the G20. Give the United States and the European Union two seats, and create regional seats for the African Union, ASEAN and a rotating Latin American coalition. Use issue-specific working groups on energy, health security and digital governance. Decisions should follow a super-majority rule, not a veto. Publish a dashboard tracking delivery on finance, standards and access. Secure buy-in with a leaders’ declaration, co-chair the first cycle with the African Union and the EU, fund a small secretariat from existing G7 and EU budgets, and link membership benefits to concrete projects. This council would be the institutional home of Bridge Diplomacy 2.0.</w:t>
      </w:r>
    </w:p>
    <w:p w14:paraId="3042571E" w14:textId="77777777" w:rsidR="004D0BB3" w:rsidRPr="00EB347D" w:rsidRDefault="004D0BB3" w:rsidP="00356805">
      <w:pPr>
        <w:jc w:val="both"/>
        <w:rPr>
          <w:sz w:val="23"/>
          <w:szCs w:val="23"/>
          <w:lang w:val="en-GB"/>
        </w:rPr>
      </w:pPr>
      <w:r w:rsidRPr="004D0BB3">
        <w:rPr>
          <w:sz w:val="23"/>
          <w:szCs w:val="23"/>
          <w:lang w:val="en-GB"/>
        </w:rPr>
        <w:t>Where the alliance is accused of selectivity, adopt rules that bind us. Where partners doubt our openness, open standards and markets, then share the pen when writing them. Where infrastructure finance has trapped countries in debt, offer transparent terms, fair risk sharing and projects that build local capability.</w:t>
      </w:r>
    </w:p>
    <w:p w14:paraId="5164CBF4" w14:textId="77777777" w:rsidR="00356805" w:rsidRPr="004D0BB3" w:rsidRDefault="00356805" w:rsidP="00356805">
      <w:pPr>
        <w:jc w:val="both"/>
        <w:rPr>
          <w:sz w:val="23"/>
          <w:szCs w:val="23"/>
          <w:lang w:val="en-GB"/>
        </w:rPr>
      </w:pPr>
    </w:p>
    <w:p w14:paraId="7C14ED84" w14:textId="77777777" w:rsidR="004D0BB3" w:rsidRPr="004D0BB3" w:rsidRDefault="004D0BB3" w:rsidP="00356805">
      <w:pPr>
        <w:jc w:val="both"/>
        <w:rPr>
          <w:sz w:val="23"/>
          <w:szCs w:val="23"/>
          <w:lang w:val="en-GB"/>
        </w:rPr>
      </w:pPr>
      <w:r w:rsidRPr="004D0BB3">
        <w:rPr>
          <w:sz w:val="23"/>
          <w:szCs w:val="23"/>
          <w:lang w:val="en-GB"/>
        </w:rPr>
        <w:t>Some will ask why any of this is the job of a transatlantic alliance. The answer is practical: access to markets, resilient supply chains and secure digital infrastructure depend on partners who trust us. Defence also depends on energy and technology; the struggle over standards is a security question by other means. This is not a shift away from core tasks; it is the way to secure them.</w:t>
      </w:r>
    </w:p>
    <w:p w14:paraId="58FEFA53" w14:textId="22F12177" w:rsidR="00CA016A" w:rsidRPr="00EB347D" w:rsidRDefault="004D0BB3" w:rsidP="00356805">
      <w:pPr>
        <w:jc w:val="both"/>
        <w:rPr>
          <w:sz w:val="23"/>
          <w:szCs w:val="23"/>
          <w:lang w:val="en-GB"/>
        </w:rPr>
      </w:pPr>
      <w:r w:rsidRPr="004D0BB3">
        <w:rPr>
          <w:sz w:val="23"/>
          <w:szCs w:val="23"/>
          <w:lang w:val="en-GB"/>
        </w:rPr>
        <w:t>Our story began with a bold bet on recovery and dignity. Today calls for a similar bet, tailored to a different world. A Renewable Energy Marshall Plan with Africa would power growth where the people are young and the potential is vast. A Transatlantic Compact on technology and climate would set fair rules before others lock in lower ones. A council that shares seats and removes vetoes would move from speeches to delivery. History bound us together. The future will be decided by whether we build bridges beyond our comfort zone and invite others to help design them. Choose engagement over isolation, partnership over patronage, consistency over convenience. Do this with measurable commitments and open doors, and the alliance will not just endure; it will lead.</w:t>
      </w:r>
    </w:p>
    <w:sectPr w:rsidR="00CA016A" w:rsidRPr="00EB347D" w:rsidSect="00356805">
      <w:headerReference w:type="default" r:id="rId7"/>
      <w:footerReference w:type="default" r:id="rId8"/>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41504" w14:textId="77777777" w:rsidR="00960330" w:rsidRDefault="00960330" w:rsidP="00EB347D">
      <w:pPr>
        <w:spacing w:after="0" w:line="240" w:lineRule="auto"/>
      </w:pPr>
      <w:r>
        <w:separator/>
      </w:r>
    </w:p>
  </w:endnote>
  <w:endnote w:type="continuationSeparator" w:id="0">
    <w:p w14:paraId="5FDEEC44" w14:textId="77777777" w:rsidR="00960330" w:rsidRDefault="00960330" w:rsidP="00EB3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2562138"/>
      <w:docPartObj>
        <w:docPartGallery w:val="Page Numbers (Bottom of Page)"/>
        <w:docPartUnique/>
      </w:docPartObj>
    </w:sdtPr>
    <w:sdtEndPr>
      <w:rPr>
        <w:sz w:val="20"/>
        <w:szCs w:val="20"/>
      </w:rPr>
    </w:sdtEndPr>
    <w:sdtContent>
      <w:p w14:paraId="10C2C754" w14:textId="72553D0A" w:rsidR="00EB347D" w:rsidRPr="00EB347D" w:rsidRDefault="00EB347D">
        <w:pPr>
          <w:pStyle w:val="Footer"/>
          <w:jc w:val="center"/>
          <w:rPr>
            <w:sz w:val="20"/>
            <w:szCs w:val="20"/>
          </w:rPr>
        </w:pPr>
        <w:r w:rsidRPr="00EB347D">
          <w:rPr>
            <w:sz w:val="20"/>
            <w:szCs w:val="20"/>
          </w:rPr>
          <w:fldChar w:fldCharType="begin"/>
        </w:r>
        <w:r w:rsidRPr="00EB347D">
          <w:rPr>
            <w:sz w:val="20"/>
            <w:szCs w:val="20"/>
          </w:rPr>
          <w:instrText>PAGE   \* MERGEFORMAT</w:instrText>
        </w:r>
        <w:r w:rsidRPr="00EB347D">
          <w:rPr>
            <w:sz w:val="20"/>
            <w:szCs w:val="20"/>
          </w:rPr>
          <w:fldChar w:fldCharType="separate"/>
        </w:r>
        <w:r w:rsidRPr="00EB347D">
          <w:rPr>
            <w:sz w:val="20"/>
            <w:szCs w:val="20"/>
            <w:lang w:val="en-GB"/>
          </w:rPr>
          <w:t>2</w:t>
        </w:r>
        <w:r w:rsidRPr="00EB347D">
          <w:rPr>
            <w:sz w:val="20"/>
            <w:szCs w:val="20"/>
          </w:rPr>
          <w:fldChar w:fldCharType="end"/>
        </w:r>
      </w:p>
    </w:sdtContent>
  </w:sdt>
  <w:p w14:paraId="340900D0" w14:textId="77777777" w:rsidR="00EB347D" w:rsidRDefault="00EB34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9F4BB" w14:textId="77777777" w:rsidR="00960330" w:rsidRDefault="00960330" w:rsidP="00EB347D">
      <w:pPr>
        <w:spacing w:after="0" w:line="240" w:lineRule="auto"/>
      </w:pPr>
      <w:r>
        <w:separator/>
      </w:r>
    </w:p>
  </w:footnote>
  <w:footnote w:type="continuationSeparator" w:id="0">
    <w:p w14:paraId="6F7162AE" w14:textId="77777777" w:rsidR="00960330" w:rsidRDefault="00960330" w:rsidP="00EB34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CB500" w14:textId="48F857B8" w:rsidR="00A37759" w:rsidRDefault="003D3EE8" w:rsidP="00A37759">
    <w:pPr>
      <w:pStyle w:val="Header"/>
      <w:jc w:val="right"/>
      <w:rPr>
        <w:sz w:val="20"/>
        <w:szCs w:val="20"/>
      </w:rPr>
    </w:pPr>
    <w:r>
      <w:rPr>
        <w:sz w:val="20"/>
        <w:szCs w:val="20"/>
      </w:rPr>
      <w:fldChar w:fldCharType="begin"/>
    </w:r>
    <w:r>
      <w:rPr>
        <w:sz w:val="20"/>
        <w:szCs w:val="20"/>
        <w:lang w:val="en-GB"/>
      </w:rPr>
      <w:instrText xml:space="preserve"> DATE \@ "dd.MM.yyyy" </w:instrText>
    </w:r>
    <w:r>
      <w:rPr>
        <w:sz w:val="20"/>
        <w:szCs w:val="20"/>
      </w:rPr>
      <w:fldChar w:fldCharType="separate"/>
    </w:r>
    <w:r>
      <w:rPr>
        <w:noProof/>
        <w:sz w:val="20"/>
        <w:szCs w:val="20"/>
        <w:lang w:val="en-GB"/>
      </w:rPr>
      <w:t>10.08.2025</w:t>
    </w:r>
    <w:r>
      <w:rPr>
        <w:sz w:val="20"/>
        <w:szCs w:val="20"/>
      </w:rPr>
      <w:fldChar w:fldCharType="end"/>
    </w:r>
  </w:p>
  <w:p w14:paraId="084031C8" w14:textId="77777777" w:rsidR="003D3EE8" w:rsidRPr="00A37759" w:rsidRDefault="003D3EE8" w:rsidP="00A37759">
    <w:pPr>
      <w:pStyle w:val="Header"/>
      <w:jc w:val="righ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0844DB"/>
    <w:multiLevelType w:val="multilevel"/>
    <w:tmpl w:val="8790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6590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F45"/>
    <w:rsid w:val="000A4AF0"/>
    <w:rsid w:val="00164812"/>
    <w:rsid w:val="00356805"/>
    <w:rsid w:val="003D3EE8"/>
    <w:rsid w:val="004D0BB3"/>
    <w:rsid w:val="0054799F"/>
    <w:rsid w:val="00807427"/>
    <w:rsid w:val="00893ADE"/>
    <w:rsid w:val="00960330"/>
    <w:rsid w:val="00972790"/>
    <w:rsid w:val="009A221A"/>
    <w:rsid w:val="00A37759"/>
    <w:rsid w:val="00CA016A"/>
    <w:rsid w:val="00DB2F45"/>
    <w:rsid w:val="00DC5806"/>
    <w:rsid w:val="00DF654D"/>
    <w:rsid w:val="00EB347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972B7"/>
  <w15:chartTrackingRefBased/>
  <w15:docId w15:val="{72A449F1-2046-45AB-9F07-2B2B70B21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F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2F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2F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2F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2F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2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2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2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2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2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2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F45"/>
    <w:rPr>
      <w:rFonts w:eastAsiaTheme="majorEastAsia" w:cstheme="majorBidi"/>
      <w:color w:val="272727" w:themeColor="text1" w:themeTint="D8"/>
    </w:rPr>
  </w:style>
  <w:style w:type="paragraph" w:styleId="Title">
    <w:name w:val="Title"/>
    <w:basedOn w:val="Normal"/>
    <w:next w:val="Normal"/>
    <w:link w:val="TitleChar"/>
    <w:uiPriority w:val="10"/>
    <w:qFormat/>
    <w:rsid w:val="00DB2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F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F45"/>
    <w:pPr>
      <w:spacing w:before="160"/>
      <w:jc w:val="center"/>
    </w:pPr>
    <w:rPr>
      <w:i/>
      <w:iCs/>
      <w:color w:val="404040" w:themeColor="text1" w:themeTint="BF"/>
    </w:rPr>
  </w:style>
  <w:style w:type="character" w:customStyle="1" w:styleId="QuoteChar">
    <w:name w:val="Quote Char"/>
    <w:basedOn w:val="DefaultParagraphFont"/>
    <w:link w:val="Quote"/>
    <w:uiPriority w:val="29"/>
    <w:rsid w:val="00DB2F45"/>
    <w:rPr>
      <w:i/>
      <w:iCs/>
      <w:color w:val="404040" w:themeColor="text1" w:themeTint="BF"/>
    </w:rPr>
  </w:style>
  <w:style w:type="paragraph" w:styleId="ListParagraph">
    <w:name w:val="List Paragraph"/>
    <w:basedOn w:val="Normal"/>
    <w:uiPriority w:val="34"/>
    <w:qFormat/>
    <w:rsid w:val="00DB2F45"/>
    <w:pPr>
      <w:ind w:left="720"/>
      <w:contextualSpacing/>
    </w:pPr>
  </w:style>
  <w:style w:type="character" w:styleId="IntenseEmphasis">
    <w:name w:val="Intense Emphasis"/>
    <w:basedOn w:val="DefaultParagraphFont"/>
    <w:uiPriority w:val="21"/>
    <w:qFormat/>
    <w:rsid w:val="00DB2F45"/>
    <w:rPr>
      <w:i/>
      <w:iCs/>
      <w:color w:val="0F4761" w:themeColor="accent1" w:themeShade="BF"/>
    </w:rPr>
  </w:style>
  <w:style w:type="paragraph" w:styleId="IntenseQuote">
    <w:name w:val="Intense Quote"/>
    <w:basedOn w:val="Normal"/>
    <w:next w:val="Normal"/>
    <w:link w:val="IntenseQuoteChar"/>
    <w:uiPriority w:val="30"/>
    <w:qFormat/>
    <w:rsid w:val="00DB2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F45"/>
    <w:rPr>
      <w:i/>
      <w:iCs/>
      <w:color w:val="0F4761" w:themeColor="accent1" w:themeShade="BF"/>
    </w:rPr>
  </w:style>
  <w:style w:type="character" w:styleId="IntenseReference">
    <w:name w:val="Intense Reference"/>
    <w:basedOn w:val="DefaultParagraphFont"/>
    <w:uiPriority w:val="32"/>
    <w:qFormat/>
    <w:rsid w:val="00DB2F45"/>
    <w:rPr>
      <w:b/>
      <w:bCs/>
      <w:smallCaps/>
      <w:color w:val="0F4761" w:themeColor="accent1" w:themeShade="BF"/>
      <w:spacing w:val="5"/>
    </w:rPr>
  </w:style>
  <w:style w:type="paragraph" w:styleId="Header">
    <w:name w:val="header"/>
    <w:basedOn w:val="Normal"/>
    <w:link w:val="HeaderChar"/>
    <w:uiPriority w:val="99"/>
    <w:unhideWhenUsed/>
    <w:rsid w:val="00EB34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347D"/>
  </w:style>
  <w:style w:type="paragraph" w:styleId="Footer">
    <w:name w:val="footer"/>
    <w:basedOn w:val="Normal"/>
    <w:link w:val="FooterChar"/>
    <w:uiPriority w:val="99"/>
    <w:unhideWhenUsed/>
    <w:rsid w:val="00EB34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34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2</Pages>
  <Words>965</Words>
  <Characters>5506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Cihan Türkay</dc:creator>
  <cp:keywords/>
  <dc:description/>
  <cp:lastModifiedBy>Kaan Cihan Türkay</cp:lastModifiedBy>
  <cp:revision>9</cp:revision>
  <dcterms:created xsi:type="dcterms:W3CDTF">2025-08-09T21:48:00Z</dcterms:created>
  <dcterms:modified xsi:type="dcterms:W3CDTF">2025-08-09T23:26:00Z</dcterms:modified>
</cp:coreProperties>
</file>