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jc w:val="center"/>
        <w:rPr>
          <w:rFonts w:ascii="Times New Roman" w:cs="Times New Roman" w:eastAsia="Times New Roman" w:hAnsi="Times New Roman"/>
          <w:sz w:val="20"/>
          <w:szCs w:val="20"/>
        </w:rPr>
      </w:pPr>
      <w:bookmarkStart w:colFirst="0" w:colLast="0" w:name="_g5pygrp1l4eu" w:id="0"/>
      <w:bookmarkEnd w:id="0"/>
      <w:r w:rsidDel="00000000" w:rsidR="00000000" w:rsidRPr="00000000">
        <w:rPr>
          <w:rFonts w:ascii="Times New Roman" w:cs="Times New Roman" w:eastAsia="Times New Roman" w:hAnsi="Times New Roman"/>
          <w:sz w:val="20"/>
          <w:szCs w:val="20"/>
          <w:u w:val="single"/>
          <w:rtl w:val="0"/>
        </w:rPr>
        <w:t xml:space="preserve">The Looming Debt Crisis: A View on the U.S. Credit Rating</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240" w:lineRule="auto"/>
        <w:jc w:val="both"/>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0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May 2025 Moody’s Investors Service was the last of the major Nationally Recognized Statistical Rating Organizations to strip the United States of its Aaa sovereign credit rating. This sequence of downgrades by the biggest three rating agencies signals not a temporary fiscal setback, but a structural decline in the U.S. sovereign creditworthiness that may culminate in a debt crisis. The downgrades issued over the past decade are no coincidence; rather they represent the consequence of nearly a century of deficit-financed growth, rising entitlement obligations and escalating debt-service costs that now absorb revenues exceeding those of the federal government. At the same time the federal funds rate - and thus  the marginal cost of capital for the U.S. Treasury -  currently exceeds year-over-year CPI, Core CPI and PPI. This limits the scope for debt erosion through inflation in the short to medium term. The decline is epitomized by the fact that foreign demand for U.S. Treasuries has weakened relative to historical norms, while their historically perceived safe-haven status shows signs of erosion. Amid the ongoing sell-off in Treasury securities, investor confidence in the U.S. creditworthiness is under severe strain. The critical question, therefore, is no longer whether debt levels will continue to rise, but whether confidence erodes faster than policymakers can restore it. This essay examines the structural drivers behind the U.S. sovereign downgrades by analyzing the historical debt cycle, shifts in monetary regimes, rising geopolitical constraints, and the implications of Ray Dalio’s proposed 3% fiscal adjustment. It concludes by assessing investor consequences and potential paths to restoring creditworthiness.</w:t>
      </w:r>
    </w:p>
    <w:p w:rsidR="00000000" w:rsidDel="00000000" w:rsidP="00000000" w:rsidRDefault="00000000" w:rsidRPr="00000000" w14:paraId="00000005">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Some might argue that the U.S. place as the primary sovereign debt issuer is systemically significant and that its reserve currency status is unquestioned. This assumption is questionable, given the rise of China and its potential to become the biggest debt capital market. Also the status of the USD as a reserve currency, might be mitigated by foreign CBDCs, stable coins or the Chinese Renminbi slowly gaining trust and becoming the new reserve currency of the world. To understand why the dollar’s dominance and the creditworthiness of its denominated debt may gradually erode over time is explainable by  its debt cycle, where it currently is about 90 to 95% through. So it has passed the sound money stage, had various debt bubbles, overreached its zenith and is now about to face a deleveraging stage, before the big debt crisis eventually recedes. The analysis now turns to the step by step transitions in monetary policy undertaken by the U.S. After the second world war, through the Bretton-Woods-System (1944) the U.S. became the major economic superpower in the world.  It had  a linked, i.e. hard monetary system. The so-called Gold Standard guaranteed that the USD was exchangeable to gold. This held true until Richard Nixon’s abandonment of the gold standard on August 15th, 1971 during a press release on national television. This removed the Dollar’s tie to gold bullion and therefore ended this first phase of monetary policy. The U.S. now officially had a fiat money, interest-rate driven monetary policy. Fiat money, issued by government decree rather than commodity backing, became the foundation of U.S. monetary policy. This interest-rate driven economy was first challenged, when it faced a liquidity trap during the Great Financial Recession (2007-2009). The interest-rates could not be lowered under 0%. It also faces a demand-supply imbalance: Since the government is accumulating such persistent deficits to alleviate the private sector being overleveraged and the economy facing a big recession, while the labor market is beginning to seize up, it cannot find enough demand for its need to issue vast amounts of debt through the U.S. Treasury. It now needs to “monetize” its debt. This means that the Federal Reserve had to buy U.S. Treasury Securities. With the year 2008, the U.S. was in the third phase: a fiat monetary system with debt monetization. This stage lasted until COVID-19 emerged  and the counter-cyclical spending it induced enlarged the fiscal deficits to such a degree that fiscal and monetary policies needed to be interlinked for the first time. The U.S. was now in a fiat monetary system with coordinated persistently elevated deficits and big debt monetization policies. What started in 2020, alleviated the economic issues at that time, but it did not rectify the U.S. debt problem. The future appears to suggest  the last and fifth  phase, which is a big deleveraging. The central question to be asked is whether the debt cycle started in 1944 is likely to come to an end with an “ugly” deleveraging or a “beautiful” one. The term “ugly” deleveraging refers to solving the sovereign debt issue via austerity measures and transfers of money from states with a higher credit rating to ones with a lower one. So, something similar to what Greece did during its sovereign debt crisis. This would be the case, if the Congressional Budget Office’s expectation of an increase of 140% of the debt/governmental income ratio would take place over the next 20 years. A beautiful deleveraging on the other hand is put into existence via debt defaults or restructurings, while the central bank (i.e. the Federal Reserve) creates money and makes purchases (Open Market Operations) and provides guarantees (Repo agreements). </w:t>
      </w:r>
    </w:p>
    <w:p w:rsidR="00000000" w:rsidDel="00000000" w:rsidP="00000000" w:rsidRDefault="00000000" w:rsidRPr="00000000" w14:paraId="00000007">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would be required, if the U.S. actually wants to remain a superpower. Recent protectionistic trade policies and expansionary fiscal measures have further constrained the policy space available for debt stabilization. Plato once suggested that a demagogue is a political leader who gains power by the “argumentum ad passiones”. This means that this leader uses the masses’ fears, prejudices, and desires, while often using manipulative rhetoric. As Donald J. Trump slowly rolled out his plans of keeping China in check, he likely exacerbated existing pressures. The U.S. and China now not only appear to be in a diplomatic and cyber war, but also in a war of trade. This trade war could spread over to the capital markets. China also seems to be gradually getting the upper hand in innovation, the most important area being Artificial Intelligence, where it appears to outperform the U.S. with cheaper production costs and a faster rate of deployment. China also has a higher percentage of postgraduates in the STEM field, i.e. a better position to fuel future intellectual property in Artificial Intelligence, the primary driver of growth. </w:t>
      </w:r>
      <w:r w:rsidDel="00000000" w:rsidR="00000000" w:rsidRPr="00000000">
        <w:rPr>
          <w:rFonts w:ascii="Times New Roman" w:cs="Times New Roman" w:eastAsia="Times New Roman" w:hAnsi="Times New Roman"/>
          <w:sz w:val="20"/>
          <w:szCs w:val="20"/>
          <w:rtl w:val="0"/>
        </w:rPr>
        <w:t xml:space="preserve">With</w:t>
      </w:r>
      <w:r w:rsidDel="00000000" w:rsidR="00000000" w:rsidRPr="00000000">
        <w:rPr>
          <w:rFonts w:ascii="Times New Roman" w:cs="Times New Roman" w:eastAsia="Times New Roman" w:hAnsi="Times New Roman"/>
          <w:sz w:val="20"/>
          <w:szCs w:val="20"/>
          <w:rtl w:val="0"/>
        </w:rPr>
        <w:t xml:space="preserve"> Donald J. Trump’s academic policy measures there is also a measurable outflow of highly skilled academic labor from the Ivy Leagues. This is important, because education of one’s people is a very valuable economic indicator, when it comes to evaluating future growth prospects. These geopolitical tensions manifest in what is commonly called a “Thucydides Trap” - termed by the Greek philosopher Thucydides - referring to an emerging power threatening the incumbent one in the change of the world order.</w:t>
      </w:r>
    </w:p>
    <w:p w:rsidR="00000000" w:rsidDel="00000000" w:rsidP="00000000" w:rsidRDefault="00000000" w:rsidRPr="00000000" w14:paraId="00000009">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change in world order, though, while impossible to reverse completely, can be postponed. The global macro investor Ray Dalio, former advisor to Lawrence Summers in the development of the Treasury Inflation-Protected Securities (also known as a proxy for real bond yields), argues that key economic ratios like debt-to-income or debt-service-to-income can be restored and an “ugly” deleveraging can be avoided via his 3% solution. The name derives from the fact that this three-part measure tries to keep the fiscal deficit tied down to 3% of GDP. Even though that seems like megalomania at the first view, it is a mild solution compared to what has been done in the past, where the internal order was still in place, i.e. no populism and more common ground between Democrats and Republicans. Previous measures include the freezing of debt payments, seizing assets of adversary nations, imposing confiscatory taxes and capital or foreign exchange controls, extending debt securities’ maturities and changing the whole monetary system from gold to fiat. Step number one would be to cut spending by 4%. This would be done by reducing government benefits that go to high earners (e.g. phase out VA disability payments that go to high earners and decrease social security for higher-income people with a 5 year phase in), limiting entitlements and transfers (e.g. lower implicit subsidies for Medicare advantage plans, overall cap on federal spending for Medicaid adjusted for inflation, eliminate federal farm subsidies, uniform social security capped at 150% of federal poverty lever, use chained inflation for social security and mandatory programs, limit transfers to states and health providers for Medicaid, raise full retirement age for social security from 67 to 70 via a phase in and reduce payments for medical education at teaching hospitals) and reducing discretionary spending (e.g. limit military personnel to about 1 million people). Furthermore, there would be a need to increase taxes by 4%. In practice that would mean increasing taxes targeted at high income earners (e.g. apply social security taxes to incomes over $250,000, increase the tax rates for the four highest income brackets by 2%, impose net investment income taxes on business income, lower contribution limits on IRAs and 401(k)s and increase Medicare part B premiums for high-income people) and removing deductions and tax subsidiaries (e.g. cap tax benefits of itemized deductions to 4% of income and cap ability to pay pre-tax for employer health insurance). The last step to this process would be to lower the federal funds rate by 1% under the current estimate of a median 4.5% over the next 10 years. Fiscal authorities, that being Congress and the president would need to create conditions that make lower interest-rates feasible, so as not impair the Federal Reserve’s sovereignty. By providing the country with sound leadership by investing in infrastructures with a high real-yield over their economic lifetime, the future deficits would shrink, lowering the U.S. Treasury’s issuance, which would lower the term premium. The Federal Reserve now can cut interest-rates to boost the economy without stoking inflation. This sort of deleveraging already was practiced during the 1990s with Bill Clinton being the president and is therefore not unprecedented. This beautiful deleveraging would be pursued counter-cyclically over the next three years.</w:t>
      </w:r>
    </w:p>
    <w:p w:rsidR="00000000" w:rsidDel="00000000" w:rsidP="00000000" w:rsidRDefault="00000000" w:rsidRPr="00000000" w14:paraId="0000000B">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in all, if policymakers recognize this solution, agree on a solution (e.g. the 3% solution) and implement it rigorously starting in the near future there would be a very good chance that the major rating agencies would reverse and the U.S, credit rating gets restored to AAA. This would likely have big implications for the bond market, since coupon payments would fall for new debt securities, previous bondholders would be guaranteed capital gains. Although, there is hope for the U.S. Treasury currently investors still have to be on the lookout for further unwindings of treasuries. Investors may therefore consider continued volatility until policy measures have been taken place. This can be dealt with by diversifying their fixed-income portfolio into foreign debt capital markets. To precisely evaluate the attractiveness of U.S. debt it is paramount to monitor the fundamental drivers of the economic stability of the government issuing the Treasury bills, notes and bonds that investors buy. This can be done by assessing the stage of the U.S. in its five forces: its money force, its domestic order or disorder force, its international order or disorder force, its forces of nature (i.e. droughts, floods and pandemics) and its technological or human productivity force.</w:t>
      </w:r>
    </w:p>
    <w:p w:rsidR="00000000" w:rsidDel="00000000" w:rsidP="00000000" w:rsidRDefault="00000000" w:rsidRPr="00000000" w14:paraId="0000000D">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u w:val="single"/>
          <w:rtl w:val="0"/>
        </w:rPr>
        <w:t xml:space="preserve">Sources</w:t>
      </w:r>
    </w:p>
    <w:p w:rsidR="00000000" w:rsidDel="00000000" w:rsidP="00000000" w:rsidRDefault="00000000" w:rsidRPr="00000000" w14:paraId="0000000F">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sz w:val="6"/>
          <w:szCs w:val="6"/>
          <w:vertAlign w:val="subscript"/>
        </w:rPr>
      </w:pPr>
      <w:r w:rsidDel="00000000" w:rsidR="00000000" w:rsidRPr="00000000">
        <w:rPr>
          <w:rtl w:val="0"/>
        </w:rPr>
      </w:r>
    </w:p>
    <w:p w:rsidR="00000000" w:rsidDel="00000000" w:rsidP="00000000" w:rsidRDefault="00000000" w:rsidRPr="00000000" w14:paraId="0000001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Dalio, R. (2025). How Countries Go Broke: The Big Cycle. Bridgewater Associates.</w:t>
      </w:r>
    </w:p>
    <w:p w:rsidR="00000000" w:rsidDel="00000000" w:rsidP="00000000" w:rsidRDefault="00000000" w:rsidRPr="00000000" w14:paraId="0000001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S&amp;P Global Ratings. (2011). United States of America long-term rating lowered to AA+.</w:t>
      </w:r>
    </w:p>
    <w:p w:rsidR="00000000" w:rsidDel="00000000" w:rsidP="00000000" w:rsidRDefault="00000000" w:rsidRPr="00000000" w14:paraId="0000001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Fitch Ratings. (2023). Fitch downgrades the United States to AA+ from AAA.</w:t>
        <w:br w:type="textWrapping"/>
        <w:t xml:space="preserve">Moody’s Investors Service. (2025). United States ratings cut to Aa1 from Aaa.</w:t>
      </w:r>
    </w:p>
    <w:p w:rsidR="00000000" w:rsidDel="00000000" w:rsidP="00000000" w:rsidRDefault="00000000" w:rsidRPr="00000000" w14:paraId="00000014">
      <w:pPr>
        <w:spacing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0"/>
          <w:szCs w:val="20"/>
          <w:rtl w:val="0"/>
        </w:rPr>
        <w:t xml:space="preserve">Scope Ratings. (2025). United States of America rating reportDalio (2025) provides the theoretical debt-cycle framework, while S&amp;P Global, Moody’s Investors Service, Fitch Ratings, and Scope Ratings supply the empirical rating actions.</w:t>
      </w:r>
    </w:p>
    <w:sectPr>
      <w:pgSz w:h="16838" w:w="11906" w:orient="portrait"/>
      <w:pgMar w:bottom="566.9291338582677" w:top="963.7795275590553" w:left="963.7795275590553" w:right="963.779527559055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