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DB521" w14:textId="77777777" w:rsidR="00EE06EB" w:rsidRDefault="00000000">
      <w:pPr>
        <w:spacing w:after="40"/>
        <w:jc w:val="right"/>
      </w:pPr>
      <w:r>
        <w:rPr>
          <w:rFonts w:ascii="Arial" w:eastAsia="Arial" w:hAnsi="Arial" w:cs="Arial"/>
          <w:b/>
          <w:bCs/>
          <w:color w:val="1A1A1A"/>
          <w:sz w:val="36"/>
          <w:szCs w:val="36"/>
        </w:rPr>
        <w:t>[UNTERNEHMENSNAME]</w:t>
      </w:r>
    </w:p>
    <w:p w14:paraId="5CAA7DB1" w14:textId="77777777" w:rsidR="00EE06EB" w:rsidRDefault="00000000">
      <w:pPr>
        <w:spacing w:after="80"/>
        <w:jc w:val="right"/>
      </w:pPr>
      <w:r>
        <w:rPr>
          <w:rFonts w:ascii="Arial" w:eastAsia="Arial" w:hAnsi="Arial" w:cs="Arial"/>
          <w:color w:val="555555"/>
          <w:sz w:val="18"/>
          <w:szCs w:val="18"/>
        </w:rPr>
        <w:t>[Rechtsform · Branchenbezeichnung]</w:t>
      </w:r>
    </w:p>
    <w:p w14:paraId="13A4CCD0" w14:textId="77777777" w:rsidR="00EE06EB" w:rsidRDefault="00EE06EB">
      <w:pPr>
        <w:pBdr>
          <w:bottom w:val="single" w:sz="6" w:space="1" w:color="1A1A1A"/>
        </w:pBdr>
        <w:spacing w:after="120"/>
      </w:pPr>
    </w:p>
    <w:p w14:paraId="3452156A" w14:textId="77777777" w:rsidR="00EE06EB" w:rsidRDefault="00000000">
      <w:pPr>
        <w:spacing w:after="360"/>
        <w:jc w:val="right"/>
      </w:pPr>
      <w:r>
        <w:rPr>
          <w:rFonts w:ascii="Arial" w:eastAsia="Arial" w:hAnsi="Arial" w:cs="Arial"/>
          <w:color w:val="1A1A1A"/>
          <w:sz w:val="22"/>
          <w:szCs w:val="22"/>
        </w:rPr>
        <w:t>[Ort], DD. Monat YYYY</w:t>
      </w:r>
    </w:p>
    <w:p w14:paraId="4C0C52C8" w14:textId="77777777" w:rsidR="00EE06EB" w:rsidRDefault="00000000">
      <w:pPr>
        <w:spacing w:after="240"/>
      </w:pPr>
      <w:r>
        <w:rPr>
          <w:rFonts w:ascii="Arial" w:eastAsia="Arial" w:hAnsi="Arial" w:cs="Arial"/>
          <w:b/>
          <w:bCs/>
          <w:color w:val="1A1A1A"/>
          <w:sz w:val="28"/>
          <w:szCs w:val="28"/>
        </w:rPr>
        <w:t>Arbeitszeugnis</w:t>
      </w:r>
    </w:p>
    <w:p w14:paraId="0FD0A33E" w14:textId="77777777" w:rsidR="00EE06EB" w:rsidRDefault="00000000">
      <w:pPr>
        <w:spacing w:after="160" w:line="276" w:lineRule="auto"/>
        <w:jc w:val="both"/>
      </w:pPr>
      <w:r>
        <w:rPr>
          <w:rFonts w:ascii="Arial" w:eastAsia="Arial" w:hAnsi="Arial" w:cs="Arial"/>
          <w:color w:val="1A1A1A"/>
          <w:sz w:val="22"/>
          <w:szCs w:val="22"/>
        </w:rPr>
        <w:t>Herr Felix Jaeckel, geboren am 27.09.2005, war in der Zeit vom DD.MM.YYYY bis zum DD.MM.YYYY als Praktikant im Bereich Mergers &amp; Acquisitions (M&amp;A) in unserem Unternehmen tätig.</w:t>
      </w:r>
    </w:p>
    <w:p w14:paraId="52133A2B" w14:textId="696C293C" w:rsidR="00EE06EB" w:rsidRDefault="00000000">
      <w:pPr>
        <w:spacing w:after="140" w:line="276" w:lineRule="auto"/>
        <w:jc w:val="both"/>
      </w:pPr>
      <w:r>
        <w:rPr>
          <w:rFonts w:ascii="Arial" w:eastAsia="Arial" w:hAnsi="Arial" w:cs="Arial"/>
          <w:color w:val="1A1A1A"/>
          <w:sz w:val="22"/>
          <w:szCs w:val="22"/>
        </w:rPr>
        <w:t xml:space="preserve">Im Rahmen seines Praktikums war Herr Jaeckel </w:t>
      </w:r>
      <w:r w:rsidR="006B2CED">
        <w:rPr>
          <w:rFonts w:ascii="Arial" w:eastAsia="Arial" w:hAnsi="Arial" w:cs="Arial"/>
          <w:color w:val="1A1A1A"/>
          <w:sz w:val="22"/>
          <w:szCs w:val="22"/>
        </w:rPr>
        <w:t xml:space="preserve">in </w:t>
      </w:r>
      <w:r>
        <w:rPr>
          <w:rFonts w:ascii="Arial" w:eastAsia="Arial" w:hAnsi="Arial" w:cs="Arial"/>
          <w:color w:val="1A1A1A"/>
          <w:sz w:val="22"/>
          <w:szCs w:val="22"/>
        </w:rPr>
        <w:t>internationale M&amp;A-Projekte eingebunden und unterstützte unsere Projektteams bei der Vorbereitung und Durchführung anspruchsvoller Sell-Side-Transaktionen. Zu seinem vielseitigen und verantwortungsvollen Aufgabenbereich gehörten insbesondere:</w:t>
      </w:r>
    </w:p>
    <w:p w14:paraId="46AB69C0" w14:textId="77777777" w:rsidR="00EE06EB" w:rsidRDefault="00000000">
      <w:pPr>
        <w:pStyle w:val="Listenabsatz"/>
        <w:numPr>
          <w:ilvl w:val="0"/>
          <w:numId w:val="2"/>
        </w:numPr>
        <w:spacing w:after="100" w:line="276" w:lineRule="auto"/>
        <w:jc w:val="both"/>
      </w:pPr>
      <w:r>
        <w:rPr>
          <w:rFonts w:ascii="Arial" w:eastAsia="Arial" w:hAnsi="Arial" w:cs="Arial"/>
          <w:color w:val="1A1A1A"/>
          <w:sz w:val="22"/>
          <w:szCs w:val="22"/>
        </w:rPr>
        <w:t xml:space="preserve">Mitwirkung an einer Sell-Side-M&amp;A-Transaktion für ein international agierendes Unternehmen im </w:t>
      </w:r>
      <w:proofErr w:type="spellStart"/>
      <w:r>
        <w:rPr>
          <w:rFonts w:ascii="Arial" w:eastAsia="Arial" w:hAnsi="Arial" w:cs="Arial"/>
          <w:color w:val="1A1A1A"/>
          <w:sz w:val="22"/>
          <w:szCs w:val="22"/>
        </w:rPr>
        <w:t>Healthcare</w:t>
      </w:r>
      <w:proofErr w:type="spellEnd"/>
      <w:r>
        <w:rPr>
          <w:rFonts w:ascii="Arial" w:eastAsia="Arial" w:hAnsi="Arial" w:cs="Arial"/>
          <w:color w:val="1A1A1A"/>
          <w:sz w:val="22"/>
          <w:szCs w:val="22"/>
        </w:rPr>
        <w:t>-Sektor im Rahmen der Veräußerung an einen Private-Equity-Investor.</w:t>
      </w:r>
    </w:p>
    <w:p w14:paraId="3904B455" w14:textId="77777777" w:rsidR="00EE06EB" w:rsidRDefault="00000000">
      <w:pPr>
        <w:pStyle w:val="Listenabsatz"/>
        <w:numPr>
          <w:ilvl w:val="0"/>
          <w:numId w:val="2"/>
        </w:numPr>
        <w:spacing w:after="100" w:line="276" w:lineRule="auto"/>
        <w:jc w:val="both"/>
      </w:pPr>
      <w:r>
        <w:rPr>
          <w:rFonts w:ascii="Arial" w:eastAsia="Arial" w:hAnsi="Arial" w:cs="Arial"/>
          <w:color w:val="1A1A1A"/>
          <w:sz w:val="22"/>
          <w:szCs w:val="22"/>
        </w:rPr>
        <w:t xml:space="preserve">Erstellung und professionelle Aufbereitung transaktionsrelevanter Verkaufsunterlagen, insbesondere Teaser, </w:t>
      </w:r>
      <w:proofErr w:type="spellStart"/>
      <w:r>
        <w:rPr>
          <w:rFonts w:ascii="Arial" w:eastAsia="Arial" w:hAnsi="Arial" w:cs="Arial"/>
          <w:color w:val="1A1A1A"/>
          <w:sz w:val="22"/>
          <w:szCs w:val="22"/>
        </w:rPr>
        <w:t>Confidential</w:t>
      </w:r>
      <w:proofErr w:type="spellEnd"/>
      <w:r>
        <w:rPr>
          <w:rFonts w:ascii="Arial" w:eastAsia="Arial" w:hAnsi="Arial" w:cs="Arial"/>
          <w:color w:val="1A1A1A"/>
          <w:sz w:val="22"/>
          <w:szCs w:val="22"/>
        </w:rPr>
        <w:t xml:space="preserve"> Information Memoranda (CIM), Pitch Books, Management-Präsentationen sowie Equity Stories für nationale und internationale Investoren.</w:t>
      </w:r>
    </w:p>
    <w:p w14:paraId="0486E298" w14:textId="77777777" w:rsidR="00EE06EB" w:rsidRDefault="00000000">
      <w:pPr>
        <w:pStyle w:val="Listenabsatz"/>
        <w:numPr>
          <w:ilvl w:val="0"/>
          <w:numId w:val="2"/>
        </w:numPr>
        <w:spacing w:after="100" w:line="276" w:lineRule="auto"/>
        <w:jc w:val="both"/>
      </w:pPr>
      <w:r>
        <w:rPr>
          <w:rFonts w:ascii="Arial" w:eastAsia="Arial" w:hAnsi="Arial" w:cs="Arial"/>
          <w:color w:val="1A1A1A"/>
          <w:sz w:val="22"/>
          <w:szCs w:val="22"/>
        </w:rPr>
        <w:t>Identifikation, Screening und tiefgreifende Analyse potenzieller Private-Equity-Investoren, Family Offices sowie strategischer Erwerber im Rahmen strukturierter M&amp;A-Prozesse.</w:t>
      </w:r>
    </w:p>
    <w:p w14:paraId="45AFA029" w14:textId="77777777" w:rsidR="00EE06EB" w:rsidRDefault="00000000">
      <w:pPr>
        <w:pStyle w:val="Listenabsatz"/>
        <w:numPr>
          <w:ilvl w:val="0"/>
          <w:numId w:val="2"/>
        </w:numPr>
        <w:spacing w:after="100" w:line="276" w:lineRule="auto"/>
        <w:jc w:val="both"/>
      </w:pPr>
      <w:r>
        <w:rPr>
          <w:rFonts w:ascii="Arial" w:eastAsia="Arial" w:hAnsi="Arial" w:cs="Arial"/>
          <w:color w:val="1A1A1A"/>
          <w:sz w:val="22"/>
          <w:szCs w:val="22"/>
        </w:rPr>
        <w:t xml:space="preserve">Aufbau, Strukturierung und Priorisierung umfassender Käufer-Longlists unter Berücksichtigung strategischer, finanzieller und </w:t>
      </w:r>
      <w:proofErr w:type="spellStart"/>
      <w:r>
        <w:rPr>
          <w:rFonts w:ascii="Arial" w:eastAsia="Arial" w:hAnsi="Arial" w:cs="Arial"/>
          <w:color w:val="1A1A1A"/>
          <w:sz w:val="22"/>
          <w:szCs w:val="22"/>
        </w:rPr>
        <w:t>sektorbezogener</w:t>
      </w:r>
      <w:proofErr w:type="spellEnd"/>
      <w:r>
        <w:rPr>
          <w:rFonts w:ascii="Arial" w:eastAsia="Arial" w:hAnsi="Arial" w:cs="Arial"/>
          <w:color w:val="1A1A1A"/>
          <w:sz w:val="22"/>
          <w:szCs w:val="22"/>
        </w:rPr>
        <w:t xml:space="preserve"> Investitionskriterien, insbesondere im </w:t>
      </w:r>
      <w:proofErr w:type="spellStart"/>
      <w:r>
        <w:rPr>
          <w:rFonts w:ascii="Arial" w:eastAsia="Arial" w:hAnsi="Arial" w:cs="Arial"/>
          <w:color w:val="1A1A1A"/>
          <w:sz w:val="22"/>
          <w:szCs w:val="22"/>
        </w:rPr>
        <w:t>Healthcare</w:t>
      </w:r>
      <w:proofErr w:type="spellEnd"/>
      <w:r>
        <w:rPr>
          <w:rFonts w:ascii="Arial" w:eastAsia="Arial" w:hAnsi="Arial" w:cs="Arial"/>
          <w:color w:val="1A1A1A"/>
          <w:sz w:val="22"/>
          <w:szCs w:val="22"/>
        </w:rPr>
        <w:t>- und Laborumfeld.</w:t>
      </w:r>
    </w:p>
    <w:p w14:paraId="7DA00E8C" w14:textId="77777777" w:rsidR="00EE06EB" w:rsidRDefault="00000000">
      <w:pPr>
        <w:pStyle w:val="Listenabsatz"/>
        <w:numPr>
          <w:ilvl w:val="0"/>
          <w:numId w:val="2"/>
        </w:numPr>
        <w:spacing w:after="100" w:line="276" w:lineRule="auto"/>
        <w:jc w:val="both"/>
      </w:pPr>
      <w:r>
        <w:rPr>
          <w:rFonts w:ascii="Arial" w:eastAsia="Arial" w:hAnsi="Arial" w:cs="Arial"/>
          <w:color w:val="1A1A1A"/>
          <w:sz w:val="22"/>
          <w:szCs w:val="22"/>
        </w:rPr>
        <w:t>Durchführung fundierter Markt-, Wettbewerbs- und Unternehmensanalysen sowie strategisches Research zu Markttrends, Konsolidierungsentwicklungen, makroökonomischen Einflussfaktoren und wesentlichen Investment-Case-Treibern.</w:t>
      </w:r>
    </w:p>
    <w:p w14:paraId="005AFFE8" w14:textId="77777777" w:rsidR="00EE06EB" w:rsidRDefault="00000000">
      <w:pPr>
        <w:pStyle w:val="Listenabsatz"/>
        <w:numPr>
          <w:ilvl w:val="0"/>
          <w:numId w:val="2"/>
        </w:numPr>
        <w:spacing w:after="100" w:line="276" w:lineRule="auto"/>
        <w:jc w:val="both"/>
      </w:pPr>
      <w:r>
        <w:rPr>
          <w:rFonts w:ascii="Arial" w:eastAsia="Arial" w:hAnsi="Arial" w:cs="Arial"/>
          <w:color w:val="1A1A1A"/>
          <w:sz w:val="22"/>
          <w:szCs w:val="22"/>
        </w:rPr>
        <w:t xml:space="preserve">Unterstützung bei Unternehmensbewertungen unter Anwendung anerkannter Bewertungsverfahren, insbesondere Multiples-Analysen (Trading und Transaction </w:t>
      </w:r>
      <w:proofErr w:type="spellStart"/>
      <w:r>
        <w:rPr>
          <w:rFonts w:ascii="Arial" w:eastAsia="Arial" w:hAnsi="Arial" w:cs="Arial"/>
          <w:color w:val="1A1A1A"/>
          <w:sz w:val="22"/>
          <w:szCs w:val="22"/>
        </w:rPr>
        <w:t>Comparables</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Discounted</w:t>
      </w:r>
      <w:proofErr w:type="spellEnd"/>
      <w:r>
        <w:rPr>
          <w:rFonts w:ascii="Arial" w:eastAsia="Arial" w:hAnsi="Arial" w:cs="Arial"/>
          <w:color w:val="1A1A1A"/>
          <w:sz w:val="22"/>
          <w:szCs w:val="22"/>
        </w:rPr>
        <w:t xml:space="preserve">-Cashflow-(DCF)-Analysen sowie </w:t>
      </w:r>
      <w:proofErr w:type="spellStart"/>
      <w:r>
        <w:rPr>
          <w:rFonts w:ascii="Arial" w:eastAsia="Arial" w:hAnsi="Arial" w:cs="Arial"/>
          <w:color w:val="1A1A1A"/>
          <w:sz w:val="22"/>
          <w:szCs w:val="22"/>
        </w:rPr>
        <w:t>Leveraged</w:t>
      </w:r>
      <w:proofErr w:type="spellEnd"/>
      <w:r>
        <w:rPr>
          <w:rFonts w:ascii="Arial" w:eastAsia="Arial" w:hAnsi="Arial" w:cs="Arial"/>
          <w:color w:val="1A1A1A"/>
          <w:sz w:val="22"/>
          <w:szCs w:val="22"/>
        </w:rPr>
        <w:t>-Buyout-(LBO)-Modellierungen.</w:t>
      </w:r>
    </w:p>
    <w:p w14:paraId="3E18221A" w14:textId="77777777" w:rsidR="00EE06EB" w:rsidRDefault="00000000">
      <w:pPr>
        <w:pStyle w:val="Listenabsatz"/>
        <w:numPr>
          <w:ilvl w:val="0"/>
          <w:numId w:val="2"/>
        </w:numPr>
        <w:spacing w:after="100" w:line="276" w:lineRule="auto"/>
        <w:jc w:val="both"/>
      </w:pPr>
      <w:r>
        <w:rPr>
          <w:rFonts w:ascii="Arial" w:eastAsia="Arial" w:hAnsi="Arial" w:cs="Arial"/>
          <w:color w:val="1A1A1A"/>
          <w:sz w:val="22"/>
          <w:szCs w:val="22"/>
        </w:rPr>
        <w:t xml:space="preserve">Analyse von Jahresabschlüssen, Bilanz-, Gewinn- und Verlustrechnungen, Cashflow-Statements sowie operativen und finanziellen Key Performance </w:t>
      </w:r>
      <w:proofErr w:type="spellStart"/>
      <w:r>
        <w:rPr>
          <w:rFonts w:ascii="Arial" w:eastAsia="Arial" w:hAnsi="Arial" w:cs="Arial"/>
          <w:color w:val="1A1A1A"/>
          <w:sz w:val="22"/>
          <w:szCs w:val="22"/>
        </w:rPr>
        <w:t>Indicators</w:t>
      </w:r>
      <w:proofErr w:type="spellEnd"/>
      <w:r>
        <w:rPr>
          <w:rFonts w:ascii="Arial" w:eastAsia="Arial" w:hAnsi="Arial" w:cs="Arial"/>
          <w:color w:val="1A1A1A"/>
          <w:sz w:val="22"/>
          <w:szCs w:val="22"/>
        </w:rPr>
        <w:t xml:space="preserve"> (KPIs) zur Ableitung wertrelevanter Erkenntnisse und Identifikation von Normalisierungspositionen.</w:t>
      </w:r>
    </w:p>
    <w:p w14:paraId="3EE1097A" w14:textId="77777777" w:rsidR="00EE06EB" w:rsidRDefault="00000000">
      <w:pPr>
        <w:pStyle w:val="Listenabsatz"/>
        <w:numPr>
          <w:ilvl w:val="0"/>
          <w:numId w:val="2"/>
        </w:numPr>
        <w:spacing w:after="100" w:line="276" w:lineRule="auto"/>
        <w:jc w:val="both"/>
      </w:pPr>
      <w:r>
        <w:rPr>
          <w:rFonts w:ascii="Arial" w:eastAsia="Arial" w:hAnsi="Arial" w:cs="Arial"/>
          <w:color w:val="1A1A1A"/>
          <w:sz w:val="22"/>
          <w:szCs w:val="22"/>
        </w:rPr>
        <w:t>Unterstützung bei der Erstellung, Pflege und Weiterentwicklung integrierter Finanzmodelle sowie Operating Models einschließlich Sensitivitäts-, Szenario- und Bridge-Analysen.</w:t>
      </w:r>
    </w:p>
    <w:p w14:paraId="5A3560DD" w14:textId="77777777" w:rsidR="00EE06EB" w:rsidRDefault="00000000">
      <w:pPr>
        <w:pStyle w:val="Listenabsatz"/>
        <w:numPr>
          <w:ilvl w:val="0"/>
          <w:numId w:val="2"/>
        </w:numPr>
        <w:spacing w:after="100" w:line="276" w:lineRule="auto"/>
        <w:jc w:val="both"/>
      </w:pPr>
      <w:r>
        <w:rPr>
          <w:rFonts w:ascii="Arial" w:eastAsia="Arial" w:hAnsi="Arial" w:cs="Arial"/>
          <w:color w:val="1A1A1A"/>
          <w:sz w:val="22"/>
          <w:szCs w:val="22"/>
        </w:rPr>
        <w:lastRenderedPageBreak/>
        <w:t>Aktive Mitwirkung bei Financial- und Commercial-Due-Diligence-Prozessen, insbesondere bei der Analyse finanzieller Kennzahlen, Geschäftsmodelle, Werttreiber sowie potenzieller Synergieeffekte und wesentlicher Risikofelder.</w:t>
      </w:r>
    </w:p>
    <w:p w14:paraId="4CD1EC6E" w14:textId="77777777" w:rsidR="00EE06EB" w:rsidRDefault="00000000">
      <w:pPr>
        <w:pStyle w:val="Listenabsatz"/>
        <w:numPr>
          <w:ilvl w:val="0"/>
          <w:numId w:val="2"/>
        </w:numPr>
        <w:spacing w:after="100" w:line="276" w:lineRule="auto"/>
        <w:jc w:val="both"/>
      </w:pPr>
      <w:r>
        <w:rPr>
          <w:rFonts w:ascii="Arial" w:eastAsia="Arial" w:hAnsi="Arial" w:cs="Arial"/>
          <w:color w:val="1A1A1A"/>
          <w:sz w:val="22"/>
          <w:szCs w:val="22"/>
        </w:rPr>
        <w:t>Unterstützung bei der Koordination laufender Transaktionsprozesse, einschließlich der Organisation und Pflege virtueller Datenräume (VDR), der strukturierten Bearbeitung von Q&amp;A-Prozessen sowie der Abstimmung zwischen Mandanten, Käufern und weiteren Transaktionsbeteiligten.</w:t>
      </w:r>
    </w:p>
    <w:p w14:paraId="2C681240" w14:textId="77777777" w:rsidR="00EE06EB" w:rsidRDefault="00000000">
      <w:pPr>
        <w:pStyle w:val="Listenabsatz"/>
        <w:numPr>
          <w:ilvl w:val="0"/>
          <w:numId w:val="2"/>
        </w:numPr>
        <w:spacing w:after="100" w:line="276" w:lineRule="auto"/>
        <w:jc w:val="both"/>
      </w:pPr>
      <w:r>
        <w:rPr>
          <w:rFonts w:ascii="Arial" w:eastAsia="Arial" w:hAnsi="Arial" w:cs="Arial"/>
          <w:color w:val="1A1A1A"/>
          <w:sz w:val="22"/>
          <w:szCs w:val="22"/>
        </w:rPr>
        <w:t xml:space="preserve">Mitwirkung bei der Vorbereitung transaktionsrelevanter Dokumente, insbesondere nicht-bindender Angebote (Non-Binding </w:t>
      </w:r>
      <w:proofErr w:type="spellStart"/>
      <w:r>
        <w:rPr>
          <w:rFonts w:ascii="Arial" w:eastAsia="Arial" w:hAnsi="Arial" w:cs="Arial"/>
          <w:color w:val="1A1A1A"/>
          <w:sz w:val="22"/>
          <w:szCs w:val="22"/>
        </w:rPr>
        <w:t>Offers</w:t>
      </w:r>
      <w:proofErr w:type="spellEnd"/>
      <w:r>
        <w:rPr>
          <w:rFonts w:ascii="Arial" w:eastAsia="Arial" w:hAnsi="Arial" w:cs="Arial"/>
          <w:color w:val="1A1A1A"/>
          <w:sz w:val="22"/>
          <w:szCs w:val="22"/>
        </w:rPr>
        <w:t xml:space="preserve"> / NBOs), Letters </w:t>
      </w:r>
      <w:proofErr w:type="spellStart"/>
      <w:r>
        <w:rPr>
          <w:rFonts w:ascii="Arial" w:eastAsia="Arial" w:hAnsi="Arial" w:cs="Arial"/>
          <w:color w:val="1A1A1A"/>
          <w:sz w:val="22"/>
          <w:szCs w:val="22"/>
        </w:rPr>
        <w:t>of</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Intent</w:t>
      </w:r>
      <w:proofErr w:type="spellEnd"/>
      <w:r>
        <w:rPr>
          <w:rFonts w:ascii="Arial" w:eastAsia="Arial" w:hAnsi="Arial" w:cs="Arial"/>
          <w:color w:val="1A1A1A"/>
          <w:sz w:val="22"/>
          <w:szCs w:val="22"/>
        </w:rPr>
        <w:t xml:space="preserve"> (LOIs), Binding </w:t>
      </w:r>
      <w:proofErr w:type="spellStart"/>
      <w:r>
        <w:rPr>
          <w:rFonts w:ascii="Arial" w:eastAsia="Arial" w:hAnsi="Arial" w:cs="Arial"/>
          <w:color w:val="1A1A1A"/>
          <w:sz w:val="22"/>
          <w:szCs w:val="22"/>
        </w:rPr>
        <w:t>Offers</w:t>
      </w:r>
      <w:proofErr w:type="spellEnd"/>
      <w:r>
        <w:rPr>
          <w:rFonts w:ascii="Arial" w:eastAsia="Arial" w:hAnsi="Arial" w:cs="Arial"/>
          <w:color w:val="1A1A1A"/>
          <w:sz w:val="22"/>
          <w:szCs w:val="22"/>
        </w:rPr>
        <w:t xml:space="preserve"> sowie Term Sheets.</w:t>
      </w:r>
    </w:p>
    <w:p w14:paraId="2F90F65F" w14:textId="77777777" w:rsidR="00EE06EB" w:rsidRDefault="00000000">
      <w:pPr>
        <w:pStyle w:val="Listenabsatz"/>
        <w:numPr>
          <w:ilvl w:val="0"/>
          <w:numId w:val="2"/>
        </w:numPr>
        <w:spacing w:after="100" w:line="276" w:lineRule="auto"/>
        <w:jc w:val="both"/>
      </w:pPr>
      <w:r>
        <w:rPr>
          <w:rFonts w:ascii="Arial" w:eastAsia="Arial" w:hAnsi="Arial" w:cs="Arial"/>
          <w:color w:val="1A1A1A"/>
          <w:sz w:val="22"/>
          <w:szCs w:val="22"/>
        </w:rPr>
        <w:t>Eigenständige Aufbereitung und adressatengerechte Präsentation komplexer Research-Ergebnisse und Entscheidungsgrundlagen für Partner, Projektteams und Mandanten.</w:t>
      </w:r>
    </w:p>
    <w:p w14:paraId="67485B2C" w14:textId="77777777" w:rsidR="00EE06EB" w:rsidRDefault="00000000">
      <w:pPr>
        <w:pStyle w:val="Listenabsatz"/>
        <w:numPr>
          <w:ilvl w:val="0"/>
          <w:numId w:val="2"/>
        </w:numPr>
        <w:spacing w:after="100" w:line="276" w:lineRule="auto"/>
        <w:jc w:val="both"/>
      </w:pPr>
      <w:r>
        <w:rPr>
          <w:rFonts w:ascii="Arial" w:eastAsia="Arial" w:hAnsi="Arial" w:cs="Arial"/>
          <w:color w:val="1A1A1A"/>
          <w:sz w:val="22"/>
          <w:szCs w:val="22"/>
        </w:rPr>
        <w:t>Enge Zusammenarbeit mit unseren M&amp;A-Beratern sowie nationalen und internationalen Private-Equity-Investoren im Rahmen laufender Transaktionsprozesse.</w:t>
      </w:r>
    </w:p>
    <w:p w14:paraId="5DDE9DD2" w14:textId="77777777" w:rsidR="00EE06EB" w:rsidRDefault="00EE06EB">
      <w:pPr>
        <w:spacing w:after="200"/>
      </w:pPr>
    </w:p>
    <w:p w14:paraId="40595E46" w14:textId="77777777" w:rsidR="00EE06EB" w:rsidRDefault="00000000">
      <w:pPr>
        <w:spacing w:after="160" w:line="276" w:lineRule="auto"/>
        <w:jc w:val="both"/>
      </w:pPr>
      <w:r>
        <w:rPr>
          <w:rFonts w:ascii="Arial" w:eastAsia="Arial" w:hAnsi="Arial" w:cs="Arial"/>
          <w:color w:val="1A1A1A"/>
          <w:sz w:val="22"/>
          <w:szCs w:val="22"/>
        </w:rPr>
        <w:t>Herr Jaeckel überzeugte während seines gesamten Praktikums durch außerordentlich fundierte Fachkenntnisse im Bereich Corporate Finance und M&amp;A, die deutlich über die Erwartungen an einen Praktikanten hinausgingen. Dank seiner außergewöhnlich schnellen Auffassungsgabe arbeitete er sich innerhalb kürzester Zeit in komplexe finanzwirtschaftliche und transaktionsbezogene Fragestellungen ein und setzte sein Wissen jederzeit äußerst sicher, strukturiert und zielorientiert in der Praxis ein.</w:t>
      </w:r>
    </w:p>
    <w:p w14:paraId="3F828D3B" w14:textId="77777777" w:rsidR="00EE06EB" w:rsidRDefault="00000000">
      <w:pPr>
        <w:spacing w:after="160" w:line="276" w:lineRule="auto"/>
        <w:jc w:val="both"/>
      </w:pPr>
      <w:r>
        <w:rPr>
          <w:rFonts w:ascii="Arial" w:eastAsia="Arial" w:hAnsi="Arial" w:cs="Arial"/>
          <w:color w:val="1A1A1A"/>
          <w:sz w:val="22"/>
          <w:szCs w:val="22"/>
        </w:rPr>
        <w:t>Besonders hervorzuheben sind sein ausgeprägtes analytisches Denkvermögen, seine hohe Zahlenaffinität sowie seine ausgeprägte Fähigkeit, auch komplexe wirtschaftliche Zusammenhänge schnell zu erfassen, kritisch zu hinterfragen und überzeugend aufzubereiten. Herr Jaeckel arbeitete sich eigenständig in neue Themengebiete ein und lieferte regelmäßig qualitativ hochwertige Arbeitsergebnisse, die unseren hohen fachlichen Ansprüchen stets in vollem Umfang entsprachen.</w:t>
      </w:r>
    </w:p>
    <w:p w14:paraId="0E70D632" w14:textId="77777777" w:rsidR="00EE06EB" w:rsidRDefault="00000000">
      <w:pPr>
        <w:spacing w:after="160" w:line="276" w:lineRule="auto"/>
        <w:jc w:val="both"/>
      </w:pPr>
      <w:r>
        <w:rPr>
          <w:rFonts w:ascii="Arial" w:eastAsia="Arial" w:hAnsi="Arial" w:cs="Arial"/>
          <w:color w:val="1A1A1A"/>
          <w:sz w:val="22"/>
          <w:szCs w:val="22"/>
        </w:rPr>
        <w:t>Herr Jaeckel zeichnete sich jederzeit durch eine außerordentlich hohe Einsatzbereitschaft, Eigeninitiative und Belastbarkeit aus. Auch unter hohem Zeitdruck und in arbeitsintensiven Projektphasen arbeitete er stets äußerst sorgfältig, präzise und zuverlässig. Seine Arbeitsweise war jederzeit hervorragend strukturiert, effizient und von einem konstant hohen Qualitätsanspruch geprägt. Durch seine schnelle Auffassungsgabe, sein ausgeprägtes Verantwortungsbewusstsein sowie seine hohe Leistungsbereitschaft leistete er einen wertvollen Beitrag zur erfolgreichen Durchführung unserer Mandate.</w:t>
      </w:r>
    </w:p>
    <w:p w14:paraId="19D5F3C3" w14:textId="77777777" w:rsidR="00EE06EB" w:rsidRDefault="00000000">
      <w:pPr>
        <w:spacing w:after="160" w:line="276" w:lineRule="auto"/>
        <w:jc w:val="both"/>
      </w:pPr>
      <w:r>
        <w:rPr>
          <w:rFonts w:ascii="Arial" w:eastAsia="Arial" w:hAnsi="Arial" w:cs="Arial"/>
          <w:color w:val="1A1A1A"/>
          <w:sz w:val="22"/>
          <w:szCs w:val="22"/>
        </w:rPr>
        <w:t>Seine Leistungen erfüllten unsere Erwartungen jederzeit und in jeder Hinsicht zu unserer vollsten Zufriedenheit.</w:t>
      </w:r>
    </w:p>
    <w:p w14:paraId="3FF55123" w14:textId="77777777" w:rsidR="00EE06EB" w:rsidRDefault="00000000">
      <w:pPr>
        <w:spacing w:after="160" w:line="276" w:lineRule="auto"/>
        <w:jc w:val="both"/>
      </w:pPr>
      <w:r>
        <w:rPr>
          <w:rFonts w:ascii="Arial" w:eastAsia="Arial" w:hAnsi="Arial" w:cs="Arial"/>
          <w:color w:val="1A1A1A"/>
          <w:sz w:val="22"/>
          <w:szCs w:val="22"/>
        </w:rPr>
        <w:t>Sein persönliches Verhalten gegenüber Vorgesetzten, Kolleginnen und Kollegen sowie Mandanten war jederzeit vorbildlich. Aufgrund seiner offenen, professionellen und teamorientierten Art wurde Herr Jaeckel von allen Ansprechpartnern außerordentlich geschätzt. Er repräsentierte unser Unternehmen jederzeit in hervorragender Weise.</w:t>
      </w:r>
    </w:p>
    <w:p w14:paraId="413688A0" w14:textId="77777777" w:rsidR="00EE06EB" w:rsidRDefault="00000000">
      <w:pPr>
        <w:spacing w:after="160" w:line="276" w:lineRule="auto"/>
        <w:jc w:val="both"/>
      </w:pPr>
      <w:r>
        <w:rPr>
          <w:rFonts w:ascii="Arial" w:eastAsia="Arial" w:hAnsi="Arial" w:cs="Arial"/>
          <w:color w:val="1A1A1A"/>
          <w:sz w:val="22"/>
          <w:szCs w:val="22"/>
        </w:rPr>
        <w:lastRenderedPageBreak/>
        <w:t>Herr Jaeckel verlässt unser Unternehmen nach Beendigung seines Praktikums auf eigenen Wunsch. Wir danken ihm für die jederzeit ausgezeichnete Zusammenarbeit, bedauern sein Ausscheiden sehr und wünschen ihm für seinen weiteren beruflichen sowie persönlichen Lebensweg weiterhin viel Erfolg und alles Gute.</w:t>
      </w:r>
    </w:p>
    <w:p w14:paraId="642444F4" w14:textId="77777777" w:rsidR="00EE06EB" w:rsidRDefault="00EE06EB">
      <w:pPr>
        <w:spacing w:after="480"/>
      </w:pPr>
    </w:p>
    <w:p w14:paraId="5E7634E2" w14:textId="77777777" w:rsidR="00EE06EB" w:rsidRDefault="00000000">
      <w:pPr>
        <w:spacing w:after="40" w:line="276" w:lineRule="auto"/>
        <w:jc w:val="both"/>
      </w:pPr>
      <w:r>
        <w:rPr>
          <w:rFonts w:ascii="Arial" w:eastAsia="Arial" w:hAnsi="Arial" w:cs="Arial"/>
          <w:b/>
          <w:bCs/>
          <w:color w:val="1A1A1A"/>
          <w:sz w:val="22"/>
          <w:szCs w:val="22"/>
        </w:rPr>
        <w:t>[Unternehmensname]</w:t>
      </w:r>
    </w:p>
    <w:p w14:paraId="77D79FAF" w14:textId="77777777" w:rsidR="00EE06EB" w:rsidRDefault="00000000">
      <w:pPr>
        <w:spacing w:after="480" w:line="276" w:lineRule="auto"/>
        <w:jc w:val="both"/>
      </w:pPr>
      <w:r>
        <w:rPr>
          <w:rFonts w:ascii="Arial" w:eastAsia="Arial" w:hAnsi="Arial" w:cs="Arial"/>
          <w:color w:val="1A1A1A"/>
          <w:sz w:val="22"/>
          <w:szCs w:val="22"/>
        </w:rPr>
        <w:t>[Rechtsform]</w:t>
      </w:r>
    </w:p>
    <w:p w14:paraId="2615F7C2" w14:textId="77777777" w:rsidR="00EE06EB" w:rsidRDefault="00EE06EB">
      <w:pPr>
        <w:pBdr>
          <w:bottom w:val="single" w:sz="6" w:space="1" w:color="1A1A1A"/>
        </w:pBdr>
        <w:spacing w:after="80"/>
        <w:ind w:right="5760"/>
      </w:pPr>
    </w:p>
    <w:p w14:paraId="33CE98A1" w14:textId="77777777" w:rsidR="00EE06EB" w:rsidRDefault="00000000">
      <w:pPr>
        <w:spacing w:after="40" w:line="276" w:lineRule="auto"/>
        <w:jc w:val="both"/>
      </w:pPr>
      <w:r>
        <w:rPr>
          <w:rFonts w:ascii="Arial" w:eastAsia="Arial" w:hAnsi="Arial" w:cs="Arial"/>
          <w:color w:val="1A1A1A"/>
          <w:sz w:val="22"/>
          <w:szCs w:val="22"/>
        </w:rPr>
        <w:t>[Vorname Nachname]</w:t>
      </w:r>
    </w:p>
    <w:p w14:paraId="17C23973" w14:textId="77777777" w:rsidR="00EE06EB" w:rsidRDefault="00000000">
      <w:pPr>
        <w:spacing w:line="276" w:lineRule="auto"/>
        <w:jc w:val="both"/>
      </w:pPr>
      <w:r>
        <w:rPr>
          <w:rFonts w:ascii="Arial" w:eastAsia="Arial" w:hAnsi="Arial" w:cs="Arial"/>
          <w:color w:val="1A1A1A"/>
          <w:sz w:val="22"/>
          <w:szCs w:val="22"/>
        </w:rPr>
        <w:t>[Position / Titel]</w:t>
      </w:r>
    </w:p>
    <w:sectPr w:rsidR="00EE06EB">
      <w:pgSz w:w="11906" w:h="16838"/>
      <w:pgMar w:top="1440" w:right="1699" w:bottom="1440" w:left="1699"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D5A67"/>
    <w:multiLevelType w:val="hybridMultilevel"/>
    <w:tmpl w:val="B4165FA2"/>
    <w:lvl w:ilvl="0" w:tplc="4C269DF6">
      <w:start w:val="1"/>
      <w:numFmt w:val="bullet"/>
      <w:lvlText w:val="●"/>
      <w:lvlJc w:val="left"/>
      <w:pPr>
        <w:ind w:left="720" w:hanging="360"/>
      </w:pPr>
    </w:lvl>
    <w:lvl w:ilvl="1" w:tplc="577EE02E">
      <w:start w:val="1"/>
      <w:numFmt w:val="bullet"/>
      <w:lvlText w:val="○"/>
      <w:lvlJc w:val="left"/>
      <w:pPr>
        <w:ind w:left="1440" w:hanging="360"/>
      </w:pPr>
    </w:lvl>
    <w:lvl w:ilvl="2" w:tplc="06BE1062">
      <w:start w:val="1"/>
      <w:numFmt w:val="bullet"/>
      <w:lvlText w:val="■"/>
      <w:lvlJc w:val="left"/>
      <w:pPr>
        <w:ind w:left="2160" w:hanging="360"/>
      </w:pPr>
    </w:lvl>
    <w:lvl w:ilvl="3" w:tplc="04EC33FC">
      <w:start w:val="1"/>
      <w:numFmt w:val="bullet"/>
      <w:lvlText w:val="●"/>
      <w:lvlJc w:val="left"/>
      <w:pPr>
        <w:ind w:left="2880" w:hanging="360"/>
      </w:pPr>
    </w:lvl>
    <w:lvl w:ilvl="4" w:tplc="B2AC243E">
      <w:start w:val="1"/>
      <w:numFmt w:val="bullet"/>
      <w:lvlText w:val="○"/>
      <w:lvlJc w:val="left"/>
      <w:pPr>
        <w:ind w:left="3600" w:hanging="360"/>
      </w:pPr>
    </w:lvl>
    <w:lvl w:ilvl="5" w:tplc="CA8C0EF2">
      <w:start w:val="1"/>
      <w:numFmt w:val="bullet"/>
      <w:lvlText w:val="■"/>
      <w:lvlJc w:val="left"/>
      <w:pPr>
        <w:ind w:left="4320" w:hanging="360"/>
      </w:pPr>
    </w:lvl>
    <w:lvl w:ilvl="6" w:tplc="A3800EF8">
      <w:start w:val="1"/>
      <w:numFmt w:val="bullet"/>
      <w:lvlText w:val="●"/>
      <w:lvlJc w:val="left"/>
      <w:pPr>
        <w:ind w:left="5040" w:hanging="360"/>
      </w:pPr>
    </w:lvl>
    <w:lvl w:ilvl="7" w:tplc="93C0A03A">
      <w:start w:val="1"/>
      <w:numFmt w:val="bullet"/>
      <w:lvlText w:val="●"/>
      <w:lvlJc w:val="left"/>
      <w:pPr>
        <w:ind w:left="5760" w:hanging="360"/>
      </w:pPr>
    </w:lvl>
    <w:lvl w:ilvl="8" w:tplc="7D7446E2">
      <w:start w:val="1"/>
      <w:numFmt w:val="bullet"/>
      <w:lvlText w:val="●"/>
      <w:lvlJc w:val="left"/>
      <w:pPr>
        <w:ind w:left="6480" w:hanging="360"/>
      </w:pPr>
    </w:lvl>
  </w:abstractNum>
  <w:abstractNum w:abstractNumId="1" w15:restartNumberingAfterBreak="0">
    <w:nsid w:val="5E06694C"/>
    <w:multiLevelType w:val="hybridMultilevel"/>
    <w:tmpl w:val="C07E11A8"/>
    <w:lvl w:ilvl="0" w:tplc="D34EDB54">
      <w:start w:val="1"/>
      <w:numFmt w:val="bullet"/>
      <w:lvlText w:val="•"/>
      <w:lvlJc w:val="left"/>
      <w:pPr>
        <w:spacing w:after="80"/>
        <w:ind w:left="576" w:hanging="288"/>
      </w:pPr>
      <w:rPr>
        <w:rFonts w:ascii="Arial" w:eastAsia="Arial" w:hAnsi="Arial" w:cs="Arial"/>
      </w:rPr>
    </w:lvl>
    <w:lvl w:ilvl="1" w:tplc="BBBA7042">
      <w:numFmt w:val="decimal"/>
      <w:lvlText w:val=""/>
      <w:lvlJc w:val="left"/>
    </w:lvl>
    <w:lvl w:ilvl="2" w:tplc="29DC3B6E">
      <w:numFmt w:val="decimal"/>
      <w:lvlText w:val=""/>
      <w:lvlJc w:val="left"/>
    </w:lvl>
    <w:lvl w:ilvl="3" w:tplc="3DEE38CA">
      <w:numFmt w:val="decimal"/>
      <w:lvlText w:val=""/>
      <w:lvlJc w:val="left"/>
    </w:lvl>
    <w:lvl w:ilvl="4" w:tplc="299EDE40">
      <w:numFmt w:val="decimal"/>
      <w:lvlText w:val=""/>
      <w:lvlJc w:val="left"/>
    </w:lvl>
    <w:lvl w:ilvl="5" w:tplc="B868E808">
      <w:numFmt w:val="decimal"/>
      <w:lvlText w:val=""/>
      <w:lvlJc w:val="left"/>
    </w:lvl>
    <w:lvl w:ilvl="6" w:tplc="2E38854C">
      <w:numFmt w:val="decimal"/>
      <w:lvlText w:val=""/>
      <w:lvlJc w:val="left"/>
    </w:lvl>
    <w:lvl w:ilvl="7" w:tplc="4C4A13E8">
      <w:numFmt w:val="decimal"/>
      <w:lvlText w:val=""/>
      <w:lvlJc w:val="left"/>
    </w:lvl>
    <w:lvl w:ilvl="8" w:tplc="E8580188">
      <w:numFmt w:val="decimal"/>
      <w:lvlText w:val=""/>
      <w:lvlJc w:val="left"/>
    </w:lvl>
  </w:abstractNum>
  <w:num w:numId="1" w16cid:durableId="1502427398">
    <w:abstractNumId w:val="0"/>
    <w:lvlOverride w:ilvl="0">
      <w:startOverride w:val="1"/>
    </w:lvlOverride>
  </w:num>
  <w:num w:numId="2" w16cid:durableId="8625203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6EB"/>
    <w:rsid w:val="002E1B11"/>
    <w:rsid w:val="006B2CED"/>
    <w:rsid w:val="00EE06E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24F1D67"/>
  <w15:docId w15:val="{B6113EC9-DD33-D44E-8510-CF43CC25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585</Words>
  <Characters>5049</Characters>
  <Application>Microsoft Office Word</Application>
  <DocSecurity>0</DocSecurity>
  <Lines>93</Lines>
  <Paragraphs>32</Paragraphs>
  <ScaleCrop>false</ScaleCrop>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Ulrike Zahn</cp:lastModifiedBy>
  <cp:revision>2</cp:revision>
  <dcterms:created xsi:type="dcterms:W3CDTF">2026-07-01T08:44:00Z</dcterms:created>
  <dcterms:modified xsi:type="dcterms:W3CDTF">2026-07-01T08:44:00Z</dcterms:modified>
</cp:coreProperties>
</file>