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AFC2" w14:textId="77777777" w:rsidR="002C3C1B" w:rsidRDefault="000B1E4E" w:rsidP="00B36B21">
      <w:pPr>
        <w:pStyle w:val="StandardWeb"/>
        <w:spacing w:line="360" w:lineRule="auto"/>
        <w:jc w:val="both"/>
        <w:rPr>
          <w:color w:val="000000"/>
          <w:sz w:val="26"/>
          <w:szCs w:val="26"/>
        </w:rPr>
      </w:pPr>
      <w:r w:rsidRPr="00B36B21">
        <w:rPr>
          <w:b/>
          <w:bCs/>
          <w:color w:val="000000"/>
          <w:sz w:val="26"/>
          <w:szCs w:val="26"/>
        </w:rPr>
        <w:t>Kapitel 3: Empirische Methodik</w:t>
      </w:r>
    </w:p>
    <w:p w14:paraId="5117C6B8" w14:textId="2A451343" w:rsidR="00B36B21" w:rsidRPr="002C3C1B" w:rsidRDefault="00B36B21" w:rsidP="00B36B21">
      <w:pPr>
        <w:pStyle w:val="StandardWeb"/>
        <w:spacing w:line="360" w:lineRule="auto"/>
        <w:jc w:val="both"/>
        <w:rPr>
          <w:color w:val="000000"/>
          <w:sz w:val="26"/>
          <w:szCs w:val="26"/>
        </w:rPr>
      </w:pPr>
      <w:r w:rsidRPr="00B36B21">
        <w:rPr>
          <w:color w:val="000000"/>
        </w:rPr>
        <w:t>Sofern nicht anders gekennzeichnet, bezieht sich Kapitel 3 ausschließlich auf Laudenbach et al. (2020). Um den Lesefluss nicht zu beeinträchtigen, wird daher in diesem Teil der Arbeit auf das Kenntlichmachen von Zitaten, die sich auf diese Veröffentlichung beziehen, verzichtet.</w:t>
      </w:r>
    </w:p>
    <w:p w14:paraId="182F6D45" w14:textId="77777777" w:rsidR="00B36B21" w:rsidRPr="00B36B21" w:rsidRDefault="00B36B21" w:rsidP="00B36B21">
      <w:pPr>
        <w:pStyle w:val="StandardWeb"/>
        <w:spacing w:line="360" w:lineRule="auto"/>
        <w:jc w:val="both"/>
        <w:rPr>
          <w:color w:val="000000"/>
        </w:rPr>
      </w:pPr>
      <w:r w:rsidRPr="00B36B21">
        <w:rPr>
          <w:color w:val="000000"/>
        </w:rPr>
        <w:t>In diesem Kapitel wird die umfassende empirische Methodik der Studie dargestellt, die sich mit den langfristigen Auswirkungen der kommunistischen Sozialisation auf die Kapitalmarktbeteiligung ehemaliger DDR-Bürger beschäftigt. Die Vorgehensweise ist mehrstufig. Zuerst werden die Datengrundlage und das grundlegende statistische Modell zur Etablierung des Ost-West-Unterschieds vorgestellt. Aufbauend darauf wird die Methodik zur Untersuchung der zugrundeliegenden Mechanismen, insbesondere der Intensität der Exposition und des „Emotional Tagging“ detailliert erläutert.</w:t>
      </w:r>
    </w:p>
    <w:p w14:paraId="6E7F9D2C" w14:textId="77777777" w:rsidR="00B36B21" w:rsidRPr="00B36B21" w:rsidRDefault="00B36B21" w:rsidP="00B36B21">
      <w:pPr>
        <w:pStyle w:val="StandardWeb"/>
        <w:spacing w:line="360" w:lineRule="auto"/>
        <w:jc w:val="both"/>
        <w:rPr>
          <w:b/>
          <w:bCs/>
          <w:color w:val="000000"/>
        </w:rPr>
      </w:pPr>
      <w:r w:rsidRPr="00B36B21">
        <w:rPr>
          <w:b/>
          <w:bCs/>
          <w:color w:val="000000"/>
        </w:rPr>
        <w:t>3.1 Datengrundlage und grundlegendes Regressionsmodell</w:t>
      </w:r>
    </w:p>
    <w:p w14:paraId="30BD8829" w14:textId="77777777" w:rsidR="00B36B21" w:rsidRPr="00B36B21" w:rsidRDefault="00B36B21" w:rsidP="00B36B21">
      <w:pPr>
        <w:pStyle w:val="StandardWeb"/>
        <w:spacing w:line="360" w:lineRule="auto"/>
        <w:jc w:val="both"/>
        <w:rPr>
          <w:color w:val="000000"/>
        </w:rPr>
      </w:pPr>
      <w:r w:rsidRPr="00B36B21">
        <w:rPr>
          <w:color w:val="000000"/>
        </w:rPr>
        <w:t xml:space="preserve">Die empirische Analyse stützt sich auf einen mehrschichtigen Datenansatz. Der Kerndatensatz stammt aus einer umfangreichen Erhebung bei einem deutschen Online-Broker, die ursprünglich 230.229 Kundenkonten umfasste. Nach Bereinigung um unvollständige oder fehlerhafte Angaben verbleibt ein Panel-Datensatz von 192.606 Kunden für den Zeitraum von 2004 bis 2012. Dieser enthält detaillierte Informationen zu soziodemografischen Merkmalen (Alter, Geschlecht, Wohnort per Postleitzahl), Depotwerten und der Portfoliostruktur. Um einem potenziellen Selektionsbias entgegenzuwirken, da Brokerage-Kunden bereits eine finanz-affine Gruppe darstellen, wird dieser Datensatz durch einen zweiten Datensatz einer großen Bank mit 6.903 Kunden aus dem Jahr 2017 ergänzt. Dieser umfasst auch reine Sparkontoinhaber und repräsentiert somit eine breitere Kundenbasis. Zur direkten Messung der angenommenen ideologischen Unterschiede wurden zusätzlich zwei repräsentative Umfragen über das Institut </w:t>
      </w:r>
      <w:proofErr w:type="spellStart"/>
      <w:r w:rsidRPr="00B36B21">
        <w:rPr>
          <w:color w:val="000000"/>
        </w:rPr>
        <w:t>NorStat</w:t>
      </w:r>
      <w:proofErr w:type="spellEnd"/>
      <w:r w:rsidRPr="00B36B21">
        <w:rPr>
          <w:color w:val="000000"/>
        </w:rPr>
        <w:t xml:space="preserve"> im Jahr 2018 durchgeführt. Diese erheben Daten zu Kapitalmarkterwartungen sowie zu allgemeinen wirtschaftlichen und systembezogenen Einstellungen. Diese Individualdaten werden mit einer Vielzahl externer, regionaler Datenquellen auf Kreis oder Postleitzahlebene verknüpft, um lokale ökonomische und historische Kontexte zu kontrollieren.</w:t>
      </w:r>
    </w:p>
    <w:p w14:paraId="721D6B60" w14:textId="77777777" w:rsidR="00B36B21" w:rsidRPr="00B36B21" w:rsidRDefault="00B36B21" w:rsidP="00B36B21">
      <w:pPr>
        <w:pStyle w:val="StandardWeb"/>
        <w:spacing w:line="360" w:lineRule="auto"/>
        <w:jc w:val="both"/>
        <w:rPr>
          <w:color w:val="000000"/>
        </w:rPr>
      </w:pPr>
      <w:r w:rsidRPr="00B36B21">
        <w:rPr>
          <w:color w:val="000000"/>
        </w:rPr>
        <w:t xml:space="preserve">Um die zentrale Hypothese eines Ost-West-Unterschieds zu testen, kommt eine multivariate Regressionsstrategie zum Einsatz. Für die Partizipationsentscheidung (extensive Marge), also </w:t>
      </w:r>
      <w:r w:rsidRPr="00B36B21">
        <w:rPr>
          <w:color w:val="000000"/>
        </w:rPr>
        <w:lastRenderedPageBreak/>
        <w:t>ob eine Person überhaupt in Aktien investiert, wird ein Logit-Modell geschätzt. Die geschätzte Gleichung lautet:</w:t>
      </w:r>
    </w:p>
    <w:p w14:paraId="6DAD43F3" w14:textId="77777777" w:rsidR="00B36B21" w:rsidRPr="00B36B21" w:rsidRDefault="00B36B21" w:rsidP="002C3C1B">
      <w:pPr>
        <w:pStyle w:val="StandardWeb"/>
        <w:spacing w:line="360" w:lineRule="auto"/>
        <w:ind w:firstLine="708"/>
        <w:jc w:val="both"/>
        <w:rPr>
          <w:color w:val="000000"/>
        </w:rPr>
      </w:pPr>
      <w:r w:rsidRPr="00B36B21">
        <w:rPr>
          <w:color w:val="000000"/>
        </w:rPr>
        <w:t xml:space="preserve">(1)       P (yᵢₜ = 1) = Φ (α + βEastᵢ + </w:t>
      </w:r>
      <w:proofErr w:type="spellStart"/>
      <w:r w:rsidRPr="00B36B21">
        <w:rPr>
          <w:color w:val="000000"/>
        </w:rPr>
        <w:t>γ'x</w:t>
      </w:r>
      <w:proofErr w:type="spellEnd"/>
      <w:r w:rsidRPr="00B36B21">
        <w:rPr>
          <w:color w:val="000000"/>
        </w:rPr>
        <w:t xml:space="preserve">ᵢₜ + </w:t>
      </w:r>
      <w:proofErr w:type="spellStart"/>
      <w:r w:rsidRPr="00B36B21">
        <w:rPr>
          <w:color w:val="000000"/>
        </w:rPr>
        <w:t>δ'z</w:t>
      </w:r>
      <w:proofErr w:type="spellEnd"/>
      <w:r w:rsidRPr="00B36B21">
        <w:rPr>
          <w:color w:val="000000"/>
        </w:rPr>
        <w:t>ᵢₜ + vₜ)</w:t>
      </w:r>
    </w:p>
    <w:p w14:paraId="2B14A7B5" w14:textId="77777777" w:rsidR="00B36B21" w:rsidRPr="00B36B21" w:rsidRDefault="00B36B21" w:rsidP="00B36B21">
      <w:pPr>
        <w:pStyle w:val="StandardWeb"/>
        <w:spacing w:line="360" w:lineRule="auto"/>
        <w:jc w:val="both"/>
        <w:rPr>
          <w:color w:val="000000"/>
        </w:rPr>
      </w:pPr>
      <w:r w:rsidRPr="00B36B21">
        <w:rPr>
          <w:color w:val="000000"/>
        </w:rPr>
        <w:t xml:space="preserve">Dabei ist </w:t>
      </w:r>
      <w:proofErr w:type="spellStart"/>
      <w:r w:rsidRPr="00B36B21">
        <w:rPr>
          <w:color w:val="000000"/>
        </w:rPr>
        <w:t>y_it</w:t>
      </w:r>
      <w:proofErr w:type="spellEnd"/>
      <w:r w:rsidRPr="00B36B21">
        <w:rPr>
          <w:color w:val="000000"/>
        </w:rPr>
        <w:t xml:space="preserve"> eine binäre Variable, die den Wert 1 annimmt, wenn eine Person Aktien oder Aktienfonds besitzt. Eastᵢ ist die zentrale unabhängige Variable, ein Dummy, der den Wert 1 für einen Wohnsitz in Ostdeutschland und 0 für einen Wohnsitz in Westdeutschland annimmt. Xᵢₜ steht für einen Vektor individueller Kontrollvariablen (z.B. Alter, Geschlecht, Vermögen), Zᵢ für regionale Kontrollvariablen (z.B. lokales BIP) und νₜ für Jahres-Fixeffekte.</w:t>
      </w:r>
    </w:p>
    <w:p w14:paraId="527289EB" w14:textId="77777777" w:rsidR="00B36B21" w:rsidRPr="00B36B21" w:rsidRDefault="00B36B21" w:rsidP="00B36B21">
      <w:pPr>
        <w:pStyle w:val="StandardWeb"/>
        <w:spacing w:line="360" w:lineRule="auto"/>
        <w:jc w:val="both"/>
        <w:rPr>
          <w:color w:val="000000"/>
        </w:rPr>
      </w:pPr>
      <w:r w:rsidRPr="00B36B21">
        <w:rPr>
          <w:color w:val="000000"/>
        </w:rPr>
        <w:t xml:space="preserve">Für die Analyse des investierten Anteils (intensive Marge) wird ein lineares OLS-Modell verwendet. Hier ist die abhängige Variable </w:t>
      </w:r>
      <w:proofErr w:type="spellStart"/>
      <w:r w:rsidRPr="00B36B21">
        <w:rPr>
          <w:color w:val="000000"/>
        </w:rPr>
        <w:t>y_it</w:t>
      </w:r>
      <w:proofErr w:type="spellEnd"/>
      <w:r w:rsidRPr="00B36B21">
        <w:rPr>
          <w:color w:val="000000"/>
        </w:rPr>
        <w:t xml:space="preserve"> der prozentuale Anteil von Aktien im Portfolio. Die geschätzte Gleichung lautet:</w:t>
      </w:r>
    </w:p>
    <w:p w14:paraId="0F21DAEF" w14:textId="77777777" w:rsidR="00B36B21" w:rsidRPr="00B36B21" w:rsidRDefault="00B36B21" w:rsidP="002C3C1B">
      <w:pPr>
        <w:pStyle w:val="StandardWeb"/>
        <w:spacing w:line="360" w:lineRule="auto"/>
        <w:ind w:firstLine="708"/>
        <w:jc w:val="both"/>
        <w:rPr>
          <w:color w:val="000000"/>
        </w:rPr>
      </w:pPr>
      <w:r w:rsidRPr="00B36B21">
        <w:rPr>
          <w:color w:val="000000"/>
        </w:rPr>
        <w:t xml:space="preserve">(2)       yᵢₜ = α + βEastᵢ + </w:t>
      </w:r>
      <w:proofErr w:type="spellStart"/>
      <w:r w:rsidRPr="00B36B21">
        <w:rPr>
          <w:color w:val="000000"/>
        </w:rPr>
        <w:t>γ'x</w:t>
      </w:r>
      <w:proofErr w:type="spellEnd"/>
      <w:r w:rsidRPr="00B36B21">
        <w:rPr>
          <w:color w:val="000000"/>
        </w:rPr>
        <w:t xml:space="preserve">ᵢₜ + </w:t>
      </w:r>
      <w:proofErr w:type="spellStart"/>
      <w:r w:rsidRPr="00B36B21">
        <w:rPr>
          <w:color w:val="000000"/>
        </w:rPr>
        <w:t>δ'z</w:t>
      </w:r>
      <w:proofErr w:type="spellEnd"/>
      <w:r w:rsidRPr="00B36B21">
        <w:rPr>
          <w:color w:val="000000"/>
        </w:rPr>
        <w:t>ᵢₜ + vₜ + εᵢₜ</w:t>
      </w:r>
    </w:p>
    <w:p w14:paraId="20D8BF25" w14:textId="77777777" w:rsidR="00B36B21" w:rsidRPr="00B36B21" w:rsidRDefault="00B36B21" w:rsidP="00B36B21">
      <w:pPr>
        <w:pStyle w:val="StandardWeb"/>
        <w:spacing w:line="360" w:lineRule="auto"/>
        <w:jc w:val="both"/>
        <w:rPr>
          <w:color w:val="000000"/>
        </w:rPr>
      </w:pPr>
      <w:r w:rsidRPr="00B36B21">
        <w:rPr>
          <w:color w:val="000000"/>
        </w:rPr>
        <w:t>Die Struktur der unabhängigen Variablen ist identisch zum Logit-Modell, ergänzt um einen expliziten Fehlerterm εᵢₜ. Um die Robustheit dieses Basiseffekts zu sichern, führen die Autoren eine Reihe von Tests durch. Dazu gehören Fallstudien, die den Einfluss aktueller sozioökonomischer Unterschiede quasi-experimentell minimieren sollen. So wird der Sonderfall Berlin untersucht, da Ost- und West-Berlin heute denselben institutionellen Rahmen teilen, sowie zwei strukturell ähnliche Städte (Eisenach und Bad Hersfeld) verglichen. Weiterhin wird die Analyse im breiteren Bankdatensatz repliziert und die Markenwahrnehmung der Bank anhand eines YouGov-Panels mit über 70.000 Befragten überprüft, um eine unterschiedliche Kundenansprache auszuschließen. Potenzielle alternative Erklärungen wie Unterschiede in Vertrauen, Risikoneigung oder Finanzbildung werden methodisch durch die Aufnahme entsprechender Variablen in die Regressionsmodelle kontrolliert.</w:t>
      </w:r>
    </w:p>
    <w:p w14:paraId="3629AA63" w14:textId="77777777" w:rsidR="00B36B21" w:rsidRPr="00B36B21" w:rsidRDefault="00B36B21" w:rsidP="00B36B21">
      <w:pPr>
        <w:pStyle w:val="StandardWeb"/>
        <w:spacing w:line="360" w:lineRule="auto"/>
        <w:jc w:val="both"/>
        <w:rPr>
          <w:b/>
          <w:bCs/>
          <w:color w:val="000000"/>
        </w:rPr>
      </w:pPr>
      <w:r w:rsidRPr="00B36B21">
        <w:rPr>
          <w:b/>
          <w:bCs/>
          <w:color w:val="000000"/>
        </w:rPr>
        <w:t>3.2 Analyse der Mechanismen: Intensität, Emotionen und Trigger</w:t>
      </w:r>
    </w:p>
    <w:p w14:paraId="777A576D" w14:textId="77777777" w:rsidR="00B36B21" w:rsidRPr="00B36B21" w:rsidRDefault="00B36B21" w:rsidP="00B36B21">
      <w:pPr>
        <w:pStyle w:val="StandardWeb"/>
        <w:spacing w:line="360" w:lineRule="auto"/>
        <w:jc w:val="both"/>
        <w:rPr>
          <w:color w:val="000000"/>
        </w:rPr>
      </w:pPr>
      <w:r w:rsidRPr="00B36B21">
        <w:rPr>
          <w:color w:val="000000"/>
        </w:rPr>
        <w:t xml:space="preserve">Aufbauend auf diesem robusten Basiseffekt, widmet sich die Studie der empirischen Überprüfung der in Kapitel 2 vorgestellten theoretischen Annahmen zu den zugrundeliegenden Mechanismen. Dies geschieht primär durch die Schätzung von Interaktionsmodellen, die den East-Dummy mit verschiedenen anderen Variablen kombinieren. Zunächst wird die Intensität der Exposition gegenüber der DDR-Doktrin untersucht. Dies wird zum einen über das Alter </w:t>
      </w:r>
      <w:r w:rsidRPr="00B36B21">
        <w:rPr>
          <w:color w:val="000000"/>
        </w:rPr>
        <w:lastRenderedPageBreak/>
        <w:t>operationalisiert (Personen über 50 Jahre hatten eine längere Exposition), zum anderen über die geografische Isolation (Wohnorte weit entfernt von der ehemaligen innerdeutschen Grenze hatten weniger Westkontakt).</w:t>
      </w:r>
    </w:p>
    <w:p w14:paraId="2B78EB08" w14:textId="77777777" w:rsidR="00B36B21" w:rsidRPr="00B36B21" w:rsidRDefault="00B36B21" w:rsidP="00B36B21">
      <w:pPr>
        <w:pStyle w:val="StandardWeb"/>
        <w:spacing w:line="360" w:lineRule="auto"/>
        <w:jc w:val="both"/>
        <w:rPr>
          <w:color w:val="000000"/>
        </w:rPr>
      </w:pPr>
      <w:r w:rsidRPr="00B36B21">
        <w:rPr>
          <w:color w:val="000000"/>
        </w:rPr>
        <w:t xml:space="preserve">Den Schwerpunkt der Analyse bildet die Untersuchung des „Emotional Tagging“. Hier wird die Hypothese getestet, dass die Stärke der ideologischen Prägung von der persönlichen, emotionalen Erfahrung mit dem DDR-System abhängt. Als </w:t>
      </w:r>
      <w:proofErr w:type="spellStart"/>
      <w:r w:rsidRPr="00B36B21">
        <w:rPr>
          <w:color w:val="000000"/>
        </w:rPr>
        <w:t>Proxies</w:t>
      </w:r>
      <w:proofErr w:type="spellEnd"/>
      <w:r w:rsidRPr="00B36B21">
        <w:rPr>
          <w:color w:val="000000"/>
        </w:rPr>
        <w:t xml:space="preserve"> für negative Erfahrungen dienen Indikatoren für das Leben in stark umweltbelasteten Regionen, ein hoher Anteil religiöser Bürger (als Proxy für erfahrene Unterdrückung) und das Fehlen von Zugang zu Westfernsehen. Als </w:t>
      </w:r>
      <w:proofErr w:type="spellStart"/>
      <w:r w:rsidRPr="00B36B21">
        <w:rPr>
          <w:color w:val="000000"/>
        </w:rPr>
        <w:t>Proxies</w:t>
      </w:r>
      <w:proofErr w:type="spellEnd"/>
      <w:r w:rsidRPr="00B36B21">
        <w:rPr>
          <w:color w:val="000000"/>
        </w:rPr>
        <w:t xml:space="preserve"> für positive Erfahrungen werden der Wohnort in geförderten „sozialistischen Vorzeigestädten“, ein hoher Anteil freiwilliger STASI-Kollaborateure in der Region und die Herkunft aus der Heimatstadt eines DDR-Olympiasiegers herangezogen. Diese Indikatoren werden jeweils mit dem East-Dummy interagiert, um zu prüfen, wie die emotionale Bewertung die Verhaltenskluft beeinflusst.</w:t>
      </w:r>
    </w:p>
    <w:p w14:paraId="58DD6440" w14:textId="77777777" w:rsidR="00B36B21" w:rsidRPr="00B36B21" w:rsidRDefault="00B36B21" w:rsidP="00B36B21">
      <w:pPr>
        <w:pStyle w:val="StandardWeb"/>
        <w:spacing w:line="360" w:lineRule="auto"/>
        <w:jc w:val="both"/>
        <w:rPr>
          <w:color w:val="000000"/>
        </w:rPr>
      </w:pPr>
      <w:r w:rsidRPr="00B36B21">
        <w:rPr>
          <w:color w:val="000000"/>
        </w:rPr>
        <w:t xml:space="preserve">Um die Hypothese einer ideologischen Prägung von einer generellen Risikoaversion abzugrenzen, wird nicht nur die Partizipation an sich, sondern auch die Art der gehaltenen Aktien untersucht. Mittels OLS-Regressionen wird geprüft, ob Ostdeutsche systematisch Aktien von als besonders "kapitalistisch" wahrgenommenen Unternehmen (z.B. aus den USA oder der Finanzbranche) </w:t>
      </w:r>
      <w:proofErr w:type="spellStart"/>
      <w:r w:rsidRPr="00B36B21">
        <w:rPr>
          <w:color w:val="000000"/>
        </w:rPr>
        <w:t>untergewichten</w:t>
      </w:r>
      <w:proofErr w:type="spellEnd"/>
      <w:r w:rsidRPr="00B36B21">
        <w:rPr>
          <w:color w:val="000000"/>
        </w:rPr>
        <w:t>, während sie Aktien von (ehemaligen) Staatsunternehmen oder Firmen aus kommunistisch geprägten Ländern bevorzugen. Dieser Test erlaubt eine differenzierte Aussage darüber, ob es sich um eine allgemeine Aktien-Skepsis oder eine spezifisch anti-kapitalistische Haltung handelt.</w:t>
      </w:r>
    </w:p>
    <w:p w14:paraId="405BDCFE" w14:textId="77777777" w:rsidR="00B36B21" w:rsidRPr="00B36B21" w:rsidRDefault="00B36B21" w:rsidP="00B36B21">
      <w:pPr>
        <w:pStyle w:val="StandardWeb"/>
        <w:spacing w:line="360" w:lineRule="auto"/>
        <w:jc w:val="both"/>
        <w:rPr>
          <w:color w:val="000000"/>
        </w:rPr>
      </w:pPr>
      <w:r w:rsidRPr="00B36B21">
        <w:rPr>
          <w:color w:val="000000"/>
        </w:rPr>
        <w:t xml:space="preserve">In Anlehnung an die </w:t>
      </w:r>
      <w:proofErr w:type="spellStart"/>
      <w:r w:rsidRPr="00B36B21">
        <w:rPr>
          <w:color w:val="000000"/>
        </w:rPr>
        <w:t>Salienztheorie</w:t>
      </w:r>
      <w:proofErr w:type="spellEnd"/>
      <w:r w:rsidRPr="00B36B21">
        <w:rPr>
          <w:color w:val="000000"/>
        </w:rPr>
        <w:t xml:space="preserve"> wird zudem geprüft, ob die historische Prägung durch bestimmte Ereignisse in der Gegenwart reaktiviert wird. Methodisch wird dies durch eine Interaktion des East-Dummys mit Indikatoren für die Bundestagswahljahre 2005 und 2009 getestet. In einem letzten Analyseschritt untersuchen die Autoren die finanziellen Konsequenzen des beobachteten Verhaltens. Hierfür werden monatliche Portfoliorenditen berechnet und mittels etablierter Faktormodelle (z.B. Fama-French-3-Faktor-Modell) um das Risiko adjustiert. Zudem werden weitere Qualitätsmaße wie Fondsgebühren und Diversifikation erfasst und in Regressionsmodellen auf systematische Unterschiede untersucht.</w:t>
      </w:r>
    </w:p>
    <w:p w14:paraId="7AD25E48" w14:textId="1F39CBC6" w:rsidR="003004CB" w:rsidRDefault="00B36B21" w:rsidP="00B36B21">
      <w:pPr>
        <w:pStyle w:val="StandardWeb"/>
        <w:spacing w:line="360" w:lineRule="auto"/>
        <w:jc w:val="both"/>
      </w:pPr>
      <w:r w:rsidRPr="00B36B21">
        <w:rPr>
          <w:color w:val="000000"/>
        </w:rPr>
        <w:t>Im folgenden Kapitel werden die empirischen Ergebnisse, die aus der Anwendung dieser umfassenden Methodik resultieren, vorgestellt und interpretiert.</w:t>
      </w:r>
    </w:p>
    <w:sectPr w:rsidR="003004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793"/>
    <w:rsid w:val="00061793"/>
    <w:rsid w:val="000B1E4E"/>
    <w:rsid w:val="00272AE8"/>
    <w:rsid w:val="002C3C1B"/>
    <w:rsid w:val="002F7347"/>
    <w:rsid w:val="003004CB"/>
    <w:rsid w:val="00425928"/>
    <w:rsid w:val="00901C61"/>
    <w:rsid w:val="0099167B"/>
    <w:rsid w:val="00B36B21"/>
    <w:rsid w:val="00E578D5"/>
    <w:rsid w:val="00F03CE0"/>
    <w:rsid w:val="00FD68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6505"/>
  <w15:chartTrackingRefBased/>
  <w15:docId w15:val="{94AF2E15-5A94-47D1-A61F-C98F120C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61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61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6179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6179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6179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617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17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17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17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179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6179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6179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6179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6179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617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17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17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1793"/>
    <w:rPr>
      <w:rFonts w:eastAsiaTheme="majorEastAsia" w:cstheme="majorBidi"/>
      <w:color w:val="272727" w:themeColor="text1" w:themeTint="D8"/>
    </w:rPr>
  </w:style>
  <w:style w:type="paragraph" w:styleId="Titel">
    <w:name w:val="Title"/>
    <w:basedOn w:val="Standard"/>
    <w:next w:val="Standard"/>
    <w:link w:val="TitelZchn"/>
    <w:uiPriority w:val="10"/>
    <w:qFormat/>
    <w:rsid w:val="00061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17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17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17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17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1793"/>
    <w:rPr>
      <w:i/>
      <w:iCs/>
      <w:color w:val="404040" w:themeColor="text1" w:themeTint="BF"/>
    </w:rPr>
  </w:style>
  <w:style w:type="paragraph" w:styleId="Listenabsatz">
    <w:name w:val="List Paragraph"/>
    <w:basedOn w:val="Standard"/>
    <w:uiPriority w:val="34"/>
    <w:qFormat/>
    <w:rsid w:val="00061793"/>
    <w:pPr>
      <w:ind w:left="720"/>
      <w:contextualSpacing/>
    </w:pPr>
  </w:style>
  <w:style w:type="character" w:styleId="IntensiveHervorhebung">
    <w:name w:val="Intense Emphasis"/>
    <w:basedOn w:val="Absatz-Standardschriftart"/>
    <w:uiPriority w:val="21"/>
    <w:qFormat/>
    <w:rsid w:val="00061793"/>
    <w:rPr>
      <w:i/>
      <w:iCs/>
      <w:color w:val="2F5496" w:themeColor="accent1" w:themeShade="BF"/>
    </w:rPr>
  </w:style>
  <w:style w:type="paragraph" w:styleId="IntensivesZitat">
    <w:name w:val="Intense Quote"/>
    <w:basedOn w:val="Standard"/>
    <w:next w:val="Standard"/>
    <w:link w:val="IntensivesZitatZchn"/>
    <w:uiPriority w:val="30"/>
    <w:qFormat/>
    <w:rsid w:val="00061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61793"/>
    <w:rPr>
      <w:i/>
      <w:iCs/>
      <w:color w:val="2F5496" w:themeColor="accent1" w:themeShade="BF"/>
    </w:rPr>
  </w:style>
  <w:style w:type="character" w:styleId="IntensiverVerweis">
    <w:name w:val="Intense Reference"/>
    <w:basedOn w:val="Absatz-Standardschriftart"/>
    <w:uiPriority w:val="32"/>
    <w:qFormat/>
    <w:rsid w:val="00061793"/>
    <w:rPr>
      <w:b/>
      <w:bCs/>
      <w:smallCaps/>
      <w:color w:val="2F5496" w:themeColor="accent1" w:themeShade="BF"/>
      <w:spacing w:val="5"/>
    </w:rPr>
  </w:style>
  <w:style w:type="paragraph" w:styleId="StandardWeb">
    <w:name w:val="Normal (Web)"/>
    <w:basedOn w:val="Standard"/>
    <w:uiPriority w:val="99"/>
    <w:unhideWhenUsed/>
    <w:rsid w:val="000B1E4E"/>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1006</Words>
  <Characters>6340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Schäfer</dc:creator>
  <cp:keywords/>
  <dc:description/>
  <cp:lastModifiedBy>Alexander Schäfer</cp:lastModifiedBy>
  <cp:revision>8</cp:revision>
  <dcterms:created xsi:type="dcterms:W3CDTF">2025-06-30T13:55:00Z</dcterms:created>
  <dcterms:modified xsi:type="dcterms:W3CDTF">2025-07-09T20:00:00Z</dcterms:modified>
</cp:coreProperties>
</file>