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BC08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Mitwirkung bei Inventurbeobachtungen inklusive stichprobenweiser Abgleiche zwischen physischen Lagerbeständen und Buchbeständen im Rahmen der Jahresabschlussprüfung</w:t>
      </w:r>
    </w:p>
    <w:p w14:paraId="1A0B8A80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Eigenständige Extraktion und Abstimmung von Summen- und Saldenlisten aus Microsoft Navision zur Plausibilisierung von Bilanz- und GuV-Positionen</w:t>
      </w:r>
    </w:p>
    <w:p w14:paraId="47CD1343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Analytische Durchsicht von Bestandsveränderungen zur Identifikation von Auffälligkeiten und Abweichungen innerhalb der Vorratsbewertung</w:t>
      </w:r>
    </w:p>
    <w:p w14:paraId="2168C51D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Vorbereitung der Offenlegung von Jahresabschlüssen über den Smart Publisher in </w:t>
      </w:r>
      <w:proofErr w:type="spellStart"/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Caseware</w:t>
      </w:r>
      <w:proofErr w:type="spellEnd"/>
    </w:p>
    <w:p w14:paraId="4B5E9FDC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Eigenständige Nachverfolgung von Anschaffungskosten anhand von Originalbelegen im Rahmen der Prüfung des Sachanlagevermögens</w:t>
      </w:r>
    </w:p>
    <w:p w14:paraId="082788DA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Vorbereitende Plausibilisierung von Abschreibungsplänen anhand einschlägiger AfA-Richtlinien und betrieblicher Nutzungsdauern</w:t>
      </w:r>
    </w:p>
    <w:p w14:paraId="6FB9C312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Nachverfolgung und Prüfung von Anlagenzugängen hinsichtlich korrekter Erfassung in der Anlagenbuchhaltung</w:t>
      </w:r>
    </w:p>
    <w:p w14:paraId="447D8C5D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Prüfung der Eröffnungsbilanzwerte durch Überleitung der Vorjahreszahlen auf die laufende Berichtsperiode</w:t>
      </w:r>
    </w:p>
    <w:p w14:paraId="1F7EAB2C" w14:textId="77777777" w:rsidR="00D31509" w:rsidRPr="00611303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  <w:rPrChange w:id="0" w:author="David Döbele" w:date="2026-05-28T22:40:00Z" w16du:dateUtc="2026-05-28T20:40:00Z"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</w:rPrChange>
        </w:rPr>
      </w:pPr>
      <w:r w:rsidRPr="0061130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  <w:rPrChange w:id="1" w:author="David Döbele" w:date="2026-05-28T22:40:00Z" w16du:dateUtc="2026-05-28T20:40:00Z"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</w:rPrChange>
        </w:rPr>
        <w:t>Eigenständige Anforderung, Abstimmung und Auswertung von Saldenbestätigungen im Rahmen der Forderungsprüfung</w:t>
      </w:r>
    </w:p>
    <w:p w14:paraId="5979733A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Aufdeckung von Abgrenzungsfehlern bei Forderungen aus Leistungen über den Bilanzstichtag hinaus</w:t>
      </w:r>
    </w:p>
    <w:p w14:paraId="23465369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Analyse überfälliger Forderungen sowie Plausibilisierung gebildeter Wertberichtigungen auf Basis offener Posten und Zahlungshistorien</w:t>
      </w:r>
    </w:p>
    <w:p w14:paraId="5BFAA6BA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Stichprobenweise Prüfung von Eingangsrechnungen und Abgleich mit offenen Verbindlichkeiten aus Lieferungen und Leistungen</w:t>
      </w:r>
    </w:p>
    <w:p w14:paraId="39DB27A1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Prüfung der Vollständigkeit von Verbindlichkeiten zum Bilanzstichtag durch Nachverfolgung nachgelagerter Zahlungsausgänge</w:t>
      </w:r>
    </w:p>
    <w:p w14:paraId="278C2135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Überprüfung der korrekten Anwendung von Skonti und Zahlungsbedingungen im Rahmen der Kreditorenprüfung</w:t>
      </w:r>
    </w:p>
    <w:p w14:paraId="45E2C04D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Unterstützung bei der Plausibilisierung von Rückstellungen durch Analyse von Rechtsgutachten, Management-Stellungnahmen und zugrunde liegenden Sachverhalten</w:t>
      </w:r>
    </w:p>
    <w:p w14:paraId="26F81FD8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Mitarbeit bei der Erstellung und Strukturierung von Fragenkatalogen an Rechtsanwälte im Rahmen der Prüfung von Rechts- und Prozessrückstellungen</w:t>
      </w:r>
    </w:p>
    <w:p w14:paraId="17EA5B17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Prüfung und Aufbereitung von Rückstellungen für Personalaufwendungen, insbesondere für Löhne, Gehälter, Urlaub, Gleitzeit- und Teilzeitansprüche</w:t>
      </w:r>
    </w:p>
    <w:p w14:paraId="14B54EFC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Prüfung von Umsatzverträgen hinsichtlich korrekter Umsatzrealisierung und periodengerechter Abgrenzung</w:t>
      </w:r>
    </w:p>
    <w:p w14:paraId="0AA3D3EB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Rückverfolgung und Kontrolle stornierter Umsätze zur Sicherstellung der ordnungsgemäßen Verbuchung</w:t>
      </w:r>
    </w:p>
    <w:p w14:paraId="4A05A4F4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Stichprobenprüfung systembasierter Umsatzbuchungen anhand von ERP-Daten aus Microsoft Navision</w:t>
      </w:r>
    </w:p>
    <w:p w14:paraId="55960286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Prüfung gewährter Skonti und Rabatte auf korrekte buchhalterische Erfassung und wirtschaftliche Plausibilität</w:t>
      </w:r>
    </w:p>
    <w:p w14:paraId="76EBBF5E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Abgleich von Umsatzerlösen mit Lieferscheinen und Leistungsnachweisen zur Verifizierung der tatsächlichen Leistungserbringung</w:t>
      </w:r>
    </w:p>
    <w:p w14:paraId="4D19808B" w14:textId="77777777" w:rsidR="00D31509" w:rsidRPr="001D7062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  <w:rPrChange w:id="2" w:author="David Döbele" w:date="2026-05-28T22:40:00Z" w16du:dateUtc="2026-05-28T20:40:00Z"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</w:rPrChange>
        </w:rPr>
      </w:pPr>
      <w:r w:rsidRPr="001D706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  <w:rPrChange w:id="3" w:author="David Döbele" w:date="2026-05-28T22:40:00Z" w16du:dateUtc="2026-05-28T20:40:00Z"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</w:rPrChange>
        </w:rPr>
        <w:t>Mitwirkung an einer ABCP-Due-Diligence im Zusammenhang mit Factoring-Strukturen zwischen Bank- und Logistikunternehmen</w:t>
      </w:r>
    </w:p>
    <w:p w14:paraId="66653706" w14:textId="77777777" w:rsidR="00D31509" w:rsidRPr="001D7062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  <w:rPrChange w:id="4" w:author="David Döbele" w:date="2026-05-28T22:40:00Z" w16du:dateUtc="2026-05-28T20:40:00Z"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</w:rPrChange>
        </w:rPr>
      </w:pPr>
      <w:r w:rsidRPr="001D706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  <w:rPrChange w:id="5" w:author="David Döbele" w:date="2026-05-28T22:40:00Z" w16du:dateUtc="2026-05-28T20:40:00Z"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</w:rPrChange>
        </w:rPr>
        <w:t>Prüfung forderungsbezogener Kriterien innerhalb der ABCP-Due-Diligence, insbesondere Zahlungsziele, Schuldnerstruktur und vertragliche Zulässigkeitsvoraussetzungen</w:t>
      </w:r>
    </w:p>
    <w:p w14:paraId="53FCDBE9" w14:textId="77777777" w:rsidR="00D31509" w:rsidRPr="001D7062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  <w:rPrChange w:id="6" w:author="David Döbele" w:date="2026-05-28T22:40:00Z" w16du:dateUtc="2026-05-28T20:40:00Z"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</w:rPrChange>
        </w:rPr>
      </w:pPr>
      <w:r w:rsidRPr="001D706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  <w:rPrChange w:id="7" w:author="David Döbele" w:date="2026-05-28T22:40:00Z" w16du:dateUtc="2026-05-28T20:40:00Z"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</w:rPrChange>
        </w:rPr>
        <w:lastRenderedPageBreak/>
        <w:t>Auswertung von ca. 80 Stichproben im Rahmen der ABCP-Due-Diligence zur Sicherstellung der Einhaltung vertraglicher Anforderungen</w:t>
      </w:r>
    </w:p>
    <w:p w14:paraId="268D67B7" w14:textId="77777777" w:rsidR="00D31509" w:rsidRPr="00611303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  <w:rPrChange w:id="8" w:author="David Döbele" w:date="2026-05-28T22:40:00Z" w16du:dateUtc="2026-05-28T20:40:00Z"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</w:rPrChange>
        </w:rPr>
      </w:pPr>
      <w:r w:rsidRPr="0061130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  <w:rPrChange w:id="9" w:author="David Döbele" w:date="2026-05-28T22:40:00Z" w16du:dateUtc="2026-05-28T20:40:00Z">
            <w:rPr>
              <w:rFonts w:ascii="Times New Roman" w:eastAsia="Times New Roman" w:hAnsi="Times New Roman" w:cs="Times New Roman"/>
              <w:kern w:val="0"/>
              <w:lang w:eastAsia="de-DE"/>
              <w14:ligatures w14:val="none"/>
            </w:rPr>
          </w:rPrChange>
        </w:rPr>
        <w:t>Erstellung von Forderungsanmeldungen im Insolvenzverfahren inklusive Berechnung von Verzugszinsen unter Berücksichtigung historischer Basiszinssätze</w:t>
      </w:r>
    </w:p>
    <w:p w14:paraId="19D0AACE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Aufbereitung und Strukturierung insolvenzbezogener Forderungspositionen zur Einreichung beim Insolvenzverwalter</w:t>
      </w:r>
    </w:p>
    <w:p w14:paraId="753553B6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Vorrollen von Vorjahresberichten und Prüfungsdokumentationen für Folgeprüfungen sowie internes Reporting in </w:t>
      </w:r>
      <w:proofErr w:type="spellStart"/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Caseware</w:t>
      </w:r>
      <w:proofErr w:type="spellEnd"/>
    </w:p>
    <w:p w14:paraId="19D953C6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Mitwirkung bei der Prüfung von Jahres- und Konzernabschlüssen mittelständischer Unternehmen aus dem verarbeitenden Gewerbe und weiteren Branchen</w:t>
      </w:r>
    </w:p>
    <w:p w14:paraId="416F8090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Durchführung analytischer Prüfungshandlungen sowie dokumentationsgestützter Stichprobenprüfungen im Rahmen substanzorientierter Prüfungshandlungen</w:t>
      </w:r>
    </w:p>
    <w:p w14:paraId="6DA3DF8A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Arbeit mit </w:t>
      </w:r>
      <w:proofErr w:type="spellStart"/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Caseware</w:t>
      </w:r>
      <w:proofErr w:type="spellEnd"/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zentrale Prüfungssoftware sowie Nutzung von Microsoft Navision zur Datenextraktion und prüfungsbezogenen Analyse von Finanzdaten</w:t>
      </w:r>
    </w:p>
    <w:p w14:paraId="745D39CD" w14:textId="77777777" w:rsidR="001E7048" w:rsidRDefault="001E7048"/>
    <w:sectPr w:rsidR="001E70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D5095"/>
    <w:multiLevelType w:val="multilevel"/>
    <w:tmpl w:val="045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27784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09"/>
    <w:rsid w:val="001D7062"/>
    <w:rsid w:val="001E7048"/>
    <w:rsid w:val="00611303"/>
    <w:rsid w:val="008A442F"/>
    <w:rsid w:val="00A25615"/>
    <w:rsid w:val="00B20BE0"/>
    <w:rsid w:val="00CB14FB"/>
    <w:rsid w:val="00D31509"/>
    <w:rsid w:val="00F11522"/>
    <w:rsid w:val="00FC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7C3FA8"/>
  <w15:chartTrackingRefBased/>
  <w15:docId w15:val="{72D8BB54-4553-D640-B984-A4A7F6F2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1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31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1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1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1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15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15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15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15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1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31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1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150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150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15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15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15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15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15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1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15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1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15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15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15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150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1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150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1509"/>
    <w:rPr>
      <w:b/>
      <w:bCs/>
      <w:smallCaps/>
      <w:color w:val="0F4761" w:themeColor="accent1" w:themeShade="BF"/>
      <w:spacing w:val="5"/>
    </w:rPr>
  </w:style>
  <w:style w:type="paragraph" w:styleId="berarbeitung">
    <w:name w:val="Revision"/>
    <w:hidden/>
    <w:uiPriority w:val="99"/>
    <w:semiHidden/>
    <w:rsid w:val="001D7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Abdelaziz Arab</dc:creator>
  <cp:keywords/>
  <dc:description/>
  <cp:lastModifiedBy>David Döbele</cp:lastModifiedBy>
  <cp:revision>2</cp:revision>
  <dcterms:created xsi:type="dcterms:W3CDTF">2026-05-28T16:20:00Z</dcterms:created>
  <dcterms:modified xsi:type="dcterms:W3CDTF">2026-05-28T20:40:00Z</dcterms:modified>
</cp:coreProperties>
</file>