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BC08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Mitwirkung bei Inventurbeobachtungen inklusive stichprobenweiser Abgleiche zwischen physischen Lagerbeständen und Buchbeständen im Rahmen der Jahresabschlussprüfung</w:t>
      </w:r>
    </w:p>
    <w:p w14:paraId="1A0B8A80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Eigenständige Extraktion und Abstimmung von Summen- und Saldenlisten aus Microsoft Navision zur Plausibilisierung von Bilanz- und GuV-Positionen</w:t>
      </w:r>
    </w:p>
    <w:p w14:paraId="47CD1343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Analytische Durchsicht von Bestandsveränderungen zur Identifikation von Auffälligkeiten und Abweichungen innerhalb der Vorratsbewertung</w:t>
      </w:r>
    </w:p>
    <w:p w14:paraId="2168C51D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Vorbereitung der Offenlegung von Jahresabschlüssen über den Smart Publisher in </w:t>
      </w:r>
      <w:proofErr w:type="spellStart"/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Caseware</w:t>
      </w:r>
      <w:proofErr w:type="spellEnd"/>
    </w:p>
    <w:p w14:paraId="4B5E9FDC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Eigenständige Nachverfolgung von Anschaffungskosten anhand von Originalbelegen im Rahmen der Prüfung des Sachanlagevermögens</w:t>
      </w:r>
    </w:p>
    <w:p w14:paraId="082788DA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Vorbereitende Plausibilisierung von Abschreibungsplänen anhand einschlägiger AfA-Richtlinien und betrieblicher Nutzungsdauern</w:t>
      </w:r>
    </w:p>
    <w:p w14:paraId="6FB9C312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Nachverfolgung und Prüfung von Anlagenzugängen hinsichtlich korrekter Erfassung in der Anlagenbuchhaltung</w:t>
      </w:r>
    </w:p>
    <w:p w14:paraId="447D8C5D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der Eröffnungsbilanzwerte durch Überleitung der Vorjahreszahlen auf die laufende Berichtsperiode</w:t>
      </w:r>
    </w:p>
    <w:p w14:paraId="1F7EAB2C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Eigenständige Anforderung, Abstimmung und Auswertung von Saldenbestätigungen im Rahmen der Forderungsprüfung</w:t>
      </w:r>
    </w:p>
    <w:p w14:paraId="5979733A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Aufdeckung von Abgrenzungsfehlern bei Forderungen aus Leistungen über den Bilanzstichtag hinaus</w:t>
      </w:r>
    </w:p>
    <w:p w14:paraId="23465369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Analyse überfälliger Forderungen sowie Plausibilisierung gebildeter Wertberichtigungen auf Basis offener Posten und Zahlungshistorien</w:t>
      </w:r>
    </w:p>
    <w:p w14:paraId="5BFAA6BA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Stichprobenweise Prüfung von Eingangsrechnungen und Abgleich mit offenen Verbindlichkeiten aus Lieferungen und Leistungen</w:t>
      </w:r>
    </w:p>
    <w:p w14:paraId="39DB27A1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der Vollständigkeit von Verbindlichkeiten zum Bilanzstichtag durch Nachverfolgung nachgelagerter Zahlungsausgänge</w:t>
      </w:r>
    </w:p>
    <w:p w14:paraId="278C2135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Überprüfung der korrekten Anwendung von Skonti und Zahlungsbedingungen im Rahmen der Kreditorenprüfung</w:t>
      </w:r>
    </w:p>
    <w:p w14:paraId="45E2C04D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Unterstützung bei der Plausibilisierung von Rückstellungen durch Analyse von Rechtsgutachten, Management-Stellungnahmen und zugrunde liegenden Sachverhalten</w:t>
      </w:r>
    </w:p>
    <w:p w14:paraId="26F81FD8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Mitarbeit bei der Erstellung und Strukturierung von Fragenkatalogen an Rechtsanwälte im Rahmen der Prüfung von Rechts- und Prozessrückstellungen</w:t>
      </w:r>
    </w:p>
    <w:p w14:paraId="17EA5B17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und Aufbereitung von Rückstellungen für Personalaufwendungen, insbesondere für Löhne, Gehälter, Urlaub, Gleitzeit- und Teilzeitansprüche</w:t>
      </w:r>
    </w:p>
    <w:p w14:paraId="14B54EFC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von Umsatzverträgen hinsichtlich korrekter Umsatzrealisierung und periodengerechter Abgrenzung</w:t>
      </w:r>
    </w:p>
    <w:p w14:paraId="0AA3D3EB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Rückverfolgung und Kontrolle stornierter Umsätze zur Sicherstellung der ordnungsgemäßen Verbuchung</w:t>
      </w:r>
    </w:p>
    <w:p w14:paraId="4A05A4F4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Stichprobenprüfung systembasierter Umsatzbuchungen anhand von ERP-Daten aus Microsoft Navision</w:t>
      </w:r>
    </w:p>
    <w:p w14:paraId="55960286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gewährter Skonti und Rabatte auf korrekte buchhalterische Erfassung und wirtschaftliche Plausibilität</w:t>
      </w:r>
    </w:p>
    <w:p w14:paraId="76EBBF5E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Abgleich von Umsatzerlösen mit Lieferscheinen und Leistungsnachweisen zur Verifizierung der tatsächlichen Leistungserbringung</w:t>
      </w:r>
    </w:p>
    <w:p w14:paraId="4D19808B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Mitwirkung an einer ABCP-Due-Diligence im Zusammenhang mit Factoring-Strukturen zwischen Bank- und Logistikunternehmen</w:t>
      </w:r>
    </w:p>
    <w:p w14:paraId="66653706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Prüfung forderungsbezogener Kriterien innerhalb der ABCP-Due-Diligence, insbesondere Zahlungsziele, Schuldnerstruktur und vertragliche Zulässigkeitsvoraussetzungen</w:t>
      </w:r>
    </w:p>
    <w:p w14:paraId="53FCDBE9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Auswertung von ca. 80 Stichproben im Rahmen der ABCP-Due-Diligence zur Sicherstellung der Einhaltung vertraglicher Anforderungen</w:t>
      </w:r>
    </w:p>
    <w:p w14:paraId="268D67B7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Erstellung von Forderungsanmeldungen im Insolvenzverfahren inklusive Berechnung von Verzugszinsen unter Berücksichtigung historischer Basiszinssätze</w:t>
      </w:r>
    </w:p>
    <w:p w14:paraId="19D0AACE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Aufbereitung und Strukturierung insolvenzbezogener Forderungspositionen zur Einreichung beim Insolvenzverwalter</w:t>
      </w:r>
    </w:p>
    <w:p w14:paraId="753553B6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Vorrollen von Vorjahresberichten und Prüfungsdokumentationen für Folgeprüfungen sowie internes Reporting in </w:t>
      </w:r>
      <w:proofErr w:type="spellStart"/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Caseware</w:t>
      </w:r>
      <w:proofErr w:type="spellEnd"/>
    </w:p>
    <w:p w14:paraId="19D953C6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Mitwirkung bei der Prüfung von Jahres- und Konzernabschlüssen mittelständischer Unternehmen aus dem verarbeitenden Gewerbe und weiteren Branchen</w:t>
      </w:r>
    </w:p>
    <w:p w14:paraId="416F8090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Durchführung analytischer Prüfungshandlungen sowie dokumentationsgestützter Stichprobenprüfungen im Rahmen substanzorientierter Prüfungshandlungen</w:t>
      </w:r>
    </w:p>
    <w:p w14:paraId="6DA3DF8A" w14:textId="77777777" w:rsidR="00D31509" w:rsidRPr="00D31509" w:rsidRDefault="00D31509" w:rsidP="00D315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Arbeit mit </w:t>
      </w:r>
      <w:proofErr w:type="spellStart"/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Caseware</w:t>
      </w:r>
      <w:proofErr w:type="spellEnd"/>
      <w:r w:rsidRPr="00D3150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zentrale Prüfungssoftware sowie Nutzung von Microsoft Navision zur Datenextraktion und prüfungsbezogenen Analyse von Finanzdaten</w:t>
      </w:r>
    </w:p>
    <w:p w14:paraId="745D39CD" w14:textId="77777777" w:rsidR="001E7048" w:rsidRDefault="001E7048"/>
    <w:sectPr w:rsidR="001E70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D5095"/>
    <w:multiLevelType w:val="multilevel"/>
    <w:tmpl w:val="045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27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09"/>
    <w:rsid w:val="001E7048"/>
    <w:rsid w:val="008A442F"/>
    <w:rsid w:val="00A25615"/>
    <w:rsid w:val="00B20BE0"/>
    <w:rsid w:val="00CB14FB"/>
    <w:rsid w:val="00D31509"/>
    <w:rsid w:val="00F1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C3FA8"/>
  <w15:chartTrackingRefBased/>
  <w15:docId w15:val="{72D8BB54-4553-D640-B984-A4A7F6F2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1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1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1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1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15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15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15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15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1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1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1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15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15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15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15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15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15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15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15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15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15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15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15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1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15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1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Abdelaziz Arab</dc:creator>
  <cp:keywords/>
  <dc:description/>
  <cp:lastModifiedBy>Abdelaziz Arab</cp:lastModifiedBy>
  <cp:revision>1</cp:revision>
  <dcterms:created xsi:type="dcterms:W3CDTF">2026-05-28T16:20:00Z</dcterms:created>
  <dcterms:modified xsi:type="dcterms:W3CDTF">2026-05-28T16:21:00Z</dcterms:modified>
</cp:coreProperties>
</file>