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ind w:leftChars="0"/>
        <w:jc w:val="left"/>
        <w:rPr>
          <w:rFonts w:hint="eastAsia" w:asciiTheme="minorEastAsia" w:hAnsiTheme="minorEastAsia" w:cstheme="minorEastAsia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color="auto" w:fill="auto"/>
          <w:lang w:val="en-US" w:eastAsia="zh-CN"/>
        </w:rPr>
        <w:t>问题1</w:t>
      </w:r>
    </w:p>
    <w:p>
      <w:pPr>
        <w:numPr>
          <w:numId w:val="0"/>
        </w:numPr>
        <w:ind w:leftChars="0" w:firstLine="480" w:firstLineChars="200"/>
        <w:jc w:val="left"/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Theme="minorEastAsia" w:hAnsiTheme="minorEastAsia" w:cstheme="minorEastAsia"/>
          <w:i w:val="0"/>
          <w:iCs w:val="0"/>
          <w:caps w:val="0"/>
          <w:color w:val="333333"/>
          <w:spacing w:val="0"/>
          <w:sz w:val="24"/>
          <w:szCs w:val="24"/>
          <w:shd w:val="clear" w:color="auto" w:fill="auto"/>
          <w:lang w:val="en-US" w:eastAsia="zh-CN"/>
        </w:rPr>
        <w:t>Moran’s I</w:t>
      </w:r>
      <w:r>
        <w:rPr>
          <w:rFonts w:hint="eastAsia" w:asciiTheme="minorEastAsia" w:hAnsiTheme="minorEastAsia" w:cstheme="minorEastAsia"/>
          <w:i w:val="0"/>
          <w:iCs w:val="0"/>
          <w:caps w:val="0"/>
          <w:color w:val="333333"/>
          <w:spacing w:val="0"/>
          <w:sz w:val="24"/>
          <w:szCs w:val="24"/>
          <w:shd w:val="clear" w:color="auto" w:fill="auto"/>
          <w:lang w:val="en-US" w:eastAsia="zh-CN"/>
        </w:rPr>
        <w:t xml:space="preserve">局部估计：对于Moran's I，当局部Moran's I 值接近 +1 时，表示在该区域内有高度的空间聚类，即热点区域；当局部Moran's I 值远低于 -1 </w:t>
      </w: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color="auto" w:fill="auto"/>
          <w:lang w:val="en-US" w:eastAsia="zh-CN"/>
        </w:rPr>
        <w:t>时，表示该区域内的特征值与周围区域的特征值明显不同，即为异常值。</w:t>
      </w:r>
    </w:p>
    <w:p>
      <w:pPr>
        <w:numPr>
          <w:numId w:val="0"/>
        </w:numPr>
        <w:ind w:leftChars="0" w:firstLine="480" w:firstLineChars="200"/>
        <w:jc w:val="left"/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color="auto" w:fill="auto"/>
          <w:lang w:val="en-US" w:eastAsia="zh-CN"/>
        </w:rPr>
        <w:t>Geary’s C局部估计：当局部Geary’s C 值接近 0 时，表示在该区域内有高度的空间聚类，也表示热点区域；当局部Geary’s C 值远高于 1 时，表示该区域内的特征值与周围区域的特征值明显不同，也表示异常值。</w:t>
      </w:r>
    </w:p>
    <w:p>
      <w:pPr>
        <w:numPr>
          <w:ilvl w:val="0"/>
          <w:numId w:val="0"/>
        </w:numPr>
        <w:ind w:leftChars="0"/>
        <w:jc w:val="left"/>
        <w:rPr>
          <w:rFonts w:hint="eastAsia" w:asciiTheme="minorEastAsia" w:hAnsiTheme="minorEastAsia" w:cstheme="minorEastAsia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color="auto" w:fill="auto"/>
          <w:lang w:val="en-US" w:eastAsia="zh-CN"/>
        </w:rPr>
        <w:t>问题2</w:t>
      </w:r>
    </w:p>
    <w:p>
      <w:pPr>
        <w:numPr>
          <w:ilvl w:val="0"/>
          <w:numId w:val="0"/>
        </w:numPr>
        <w:ind w:leftChars="0" w:firstLine="480" w:firstLineChars="200"/>
        <w:jc w:val="left"/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color="auto" w:fill="auto"/>
          <w:lang w:val="en-US" w:eastAsia="zh-CN"/>
        </w:rPr>
        <w:t>左图是Rook's Filter：对于每一个格子，只将其上下左右四个方向的邻居格子视为相邻格子，不考虑对角线方向的邻居。</w:t>
      </w:r>
    </w:p>
    <w:p>
      <w:pPr>
        <w:numPr>
          <w:numId w:val="0"/>
        </w:numPr>
        <w:ind w:leftChars="0" w:firstLine="480" w:firstLineChars="200"/>
        <w:jc w:val="left"/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color="auto" w:fill="auto"/>
          <w:lang w:val="en-US" w:eastAsia="zh-CN"/>
        </w:rPr>
        <w:t>右图是Queen's Filter：对于每一个格子，将其周围的8个邻居格子视为相邻格子。这种过滤器考虑了每个格子的对角线方向的邻居。</w:t>
      </w:r>
    </w:p>
    <w:p>
      <w:pPr>
        <w:numPr>
          <w:numId w:val="0"/>
        </w:numPr>
        <w:ind w:leftChars="0" w:firstLine="480" w:firstLineChars="200"/>
        <w:jc w:val="left"/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color="auto" w:fill="auto"/>
          <w:lang w:val="en-US" w:eastAsia="zh-CN"/>
        </w:rPr>
        <w:t>Queen's Filter的空间权矩阵如下：</w:t>
      </w:r>
    </w:p>
    <w:p>
      <w:pPr>
        <w:numPr>
          <w:numId w:val="0"/>
        </w:numPr>
        <w:ind w:leftChars="0" w:firstLine="480" w:firstLineChars="200"/>
        <w:jc w:val="left"/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color="auto" w:fill="auto"/>
          <w:lang w:val="en-US" w:eastAsia="zh-CN"/>
        </w:rPr>
        <w:t xml:space="preserve">  0  1  0</w:t>
      </w:r>
    </w:p>
    <w:p>
      <w:pPr>
        <w:numPr>
          <w:numId w:val="0"/>
        </w:numPr>
        <w:ind w:leftChars="0" w:firstLine="480" w:firstLineChars="200"/>
        <w:jc w:val="left"/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color="auto" w:fill="auto"/>
          <w:lang w:val="en-US" w:eastAsia="zh-CN"/>
        </w:rPr>
        <w:t xml:space="preserve">  1 -4  1</w:t>
      </w:r>
    </w:p>
    <w:p>
      <w:pPr>
        <w:numPr>
          <w:numId w:val="0"/>
        </w:numPr>
        <w:ind w:leftChars="0" w:firstLine="480" w:firstLineChars="200"/>
        <w:jc w:val="left"/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color="auto" w:fill="auto"/>
          <w:lang w:val="en-US" w:eastAsia="zh-CN"/>
        </w:rPr>
        <w:t xml:space="preserve">  0  1  0</w:t>
      </w:r>
    </w:p>
    <w:p>
      <w:pPr>
        <w:numPr>
          <w:numId w:val="0"/>
        </w:numPr>
        <w:ind w:leftChars="0" w:firstLine="480" w:firstLineChars="200"/>
        <w:jc w:val="left"/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color="auto" w:fill="auto"/>
          <w:lang w:val="en-US" w:eastAsia="zh-CN"/>
        </w:rPr>
        <w:t>在Queen's Filter中，对于一个给定的格子，其邻居包括其上下左右和对角线方向上的格子，共计8个邻居。因此，中心格子的权重值为-4（表示中心格子与周围8个邻居都相邻），而对角线上的邻居格子的权重值为1（表示对角线上的邻居格子与中心格子相邻）。</w:t>
      </w:r>
    </w:p>
    <w:p>
      <w:pPr>
        <w:numPr>
          <w:numId w:val="0"/>
        </w:numPr>
        <w:ind w:leftChars="0" w:firstLine="480" w:firstLineChars="200"/>
        <w:jc w:val="left"/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color="auto" w:fill="auto"/>
          <w:lang w:val="en-US" w:eastAsia="zh-CN"/>
        </w:rPr>
        <w:t>Rook's Filter的空间权矩阵如下：</w:t>
      </w:r>
    </w:p>
    <w:p>
      <w:pPr>
        <w:numPr>
          <w:numId w:val="0"/>
        </w:numPr>
        <w:ind w:leftChars="0" w:firstLine="480" w:firstLineChars="200"/>
        <w:jc w:val="left"/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color="auto" w:fill="auto"/>
          <w:lang w:val="en-US" w:eastAsia="zh-CN"/>
        </w:rPr>
        <w:t xml:space="preserve">  1  0 -1</w:t>
      </w:r>
    </w:p>
    <w:p>
      <w:pPr>
        <w:numPr>
          <w:numId w:val="0"/>
        </w:numPr>
        <w:ind w:leftChars="0" w:firstLine="480" w:firstLineChars="200"/>
        <w:jc w:val="left"/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color="auto" w:fill="auto"/>
          <w:lang w:val="en-US" w:eastAsia="zh-CN"/>
        </w:rPr>
        <w:t xml:space="preserve">  0 -2  0</w:t>
      </w:r>
    </w:p>
    <w:p>
      <w:pPr>
        <w:numPr>
          <w:numId w:val="0"/>
        </w:numPr>
        <w:ind w:leftChars="0" w:firstLine="480" w:firstLineChars="200"/>
        <w:jc w:val="left"/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color="auto" w:fill="auto"/>
          <w:lang w:val="en-US" w:eastAsia="zh-CN"/>
        </w:rPr>
        <w:t xml:space="preserve"> -1  0  1</w:t>
      </w:r>
    </w:p>
    <w:p>
      <w:pPr>
        <w:numPr>
          <w:numId w:val="0"/>
        </w:numPr>
        <w:ind w:leftChars="0" w:firstLine="480" w:firstLineChars="200"/>
        <w:jc w:val="left"/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color="auto" w:fill="auto"/>
          <w:lang w:val="en-US" w:eastAsia="zh-CN"/>
        </w:rPr>
        <w:t>在Rook's Filter中，每个格子的邻居仅包括其上下左右四个方向上的格子，不考虑对角线方向上的邻居。因此，中心格子的权重值为-2（表示中心格子与周围4个邻居都相邻），而四周的邻居格子的权重值为1或-1（表示它们与中心格子相邻）。</w:t>
      </w:r>
      <w:bookmarkStart w:id="0" w:name="_GoBack"/>
      <w:bookmarkEnd w:id="0"/>
    </w:p>
    <w:p>
      <w:pPr>
        <w:numPr>
          <w:numId w:val="0"/>
        </w:numPr>
        <w:ind w:leftChars="0" w:firstLine="480" w:firstLineChars="200"/>
        <w:jc w:val="left"/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color="auto" w:fill="auto"/>
          <w:lang w:val="en-US" w:eastAsia="zh-CN"/>
        </w:rPr>
        <w:t>创建一个3x3的权重矩阵，其中的值对应Queen's Filter的权重：</w:t>
      </w:r>
    </w:p>
    <w:p>
      <w:pPr>
        <w:numPr>
          <w:numId w:val="0"/>
        </w:numPr>
        <w:ind w:leftChars="0" w:firstLine="480" w:firstLineChars="200"/>
        <w:jc w:val="left"/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color="auto" w:fill="auto"/>
          <w:lang w:val="en-US" w:eastAsia="zh-CN"/>
        </w:rPr>
        <w:t>queen_filter &lt;- matrix(c(0, 1, 0, 1, -4, 1, 0, 1, 0), nrow = 3, ncol = 3, byrow = TRUE)</w:t>
      </w:r>
    </w:p>
    <w:p>
      <w:pPr>
        <w:numPr>
          <w:numId w:val="0"/>
        </w:numPr>
        <w:ind w:leftChars="0"/>
        <w:jc w:val="left"/>
        <w:rPr>
          <w:rFonts w:hint="eastAsia" w:asciiTheme="minorEastAsia" w:hAnsiTheme="minorEastAsia" w:cstheme="minorEastAsia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color="auto" w:fill="auto"/>
          <w:lang w:val="en-US" w:eastAsia="zh-CN"/>
        </w:rPr>
      </w:pPr>
    </w:p>
    <w:p>
      <w:pPr>
        <w:numPr>
          <w:numId w:val="0"/>
        </w:numPr>
        <w:ind w:leftChars="0"/>
        <w:jc w:val="left"/>
        <w:rPr>
          <w:rFonts w:hint="eastAsia" w:asciiTheme="minorEastAsia" w:hAnsiTheme="minorEastAsia" w:cstheme="minorEastAsia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color="auto" w:fill="auto"/>
          <w:lang w:val="en-US" w:eastAsia="zh-CN"/>
        </w:rPr>
      </w:pPr>
    </w:p>
    <w:p>
      <w:pPr>
        <w:numPr>
          <w:numId w:val="0"/>
        </w:numPr>
        <w:ind w:leftChars="0"/>
        <w:jc w:val="left"/>
        <w:rPr>
          <w:rFonts w:hint="default" w:asciiTheme="minorEastAsia" w:hAnsiTheme="minorEastAsia" w:cstheme="minorEastAsia"/>
          <w:i w:val="0"/>
          <w:iCs w:val="0"/>
          <w:caps w:val="0"/>
          <w:color w:val="333333"/>
          <w:spacing w:val="0"/>
          <w:sz w:val="24"/>
          <w:szCs w:val="24"/>
          <w:shd w:val="clear" w:color="auto" w:fill="auto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汉仪青云简">
    <w:panose1 w:val="00020600040101010101"/>
    <w:charset w:val="86"/>
    <w:family w:val="auto"/>
    <w:pitch w:val="default"/>
    <w:sig w:usb0="8000001F" w:usb1="1A0F781A" w:usb2="00000016" w:usb3="00000000" w:csb0="0004009F" w:csb1="DFD70000"/>
  </w:font>
  <w:font w:name="汉仪迪升英雄体W">
    <w:panose1 w:val="00020600040101010101"/>
    <w:charset w:val="86"/>
    <w:family w:val="auto"/>
    <w:pitch w:val="default"/>
    <w:sig w:usb0="A00002BF" w:usb1="0ACF64FA" w:usb2="00000016" w:usb3="00000000" w:csb0="0004009F" w:csb1="00000000"/>
  </w:font>
  <w:font w:name="汉仪春然手书繁">
    <w:panose1 w:val="00020600040101010101"/>
    <w:charset w:val="86"/>
    <w:family w:val="auto"/>
    <w:pitch w:val="default"/>
    <w:sig w:usb0="8000007F" w:usb1="0ACF041A" w:usb2="00000016" w:usb3="00000000" w:csb0="000400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VmZmI3ZTZlNTY0OTZjYWE0MzIyY2QzM2IzZWE0MmIifQ=="/>
  </w:docVars>
  <w:rsids>
    <w:rsidRoot w:val="35106F42"/>
    <w:rsid w:val="00B167F4"/>
    <w:rsid w:val="35106F42"/>
    <w:rsid w:val="35B15772"/>
    <w:rsid w:val="5C6F2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link w:val="10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rFonts w:ascii="Calibri" w:hAnsi="Calibri" w:eastAsia="宋体" w:cs="Times New Roman"/>
      <w:b/>
      <w:bCs/>
      <w:sz w:val="28"/>
      <w:szCs w:val="32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next w:val="1"/>
    <w:uiPriority w:val="0"/>
    <w:pPr>
      <w:spacing w:before="236"/>
      <w:ind w:left="120"/>
    </w:pPr>
    <w:rPr>
      <w:rFonts w:ascii="仿宋_GB2312" w:hAnsi="仿宋_GB2312" w:eastAsia="宋体" w:cs="Times New Roman"/>
      <w:sz w:val="28"/>
      <w:szCs w:val="28"/>
    </w:r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TML Code"/>
    <w:basedOn w:val="7"/>
    <w:uiPriority w:val="0"/>
    <w:rPr>
      <w:rFonts w:ascii="Courier New" w:hAnsi="Courier New"/>
      <w:sz w:val="20"/>
    </w:rPr>
  </w:style>
  <w:style w:type="character" w:customStyle="1" w:styleId="10">
    <w:name w:val="标题 3 Char"/>
    <w:link w:val="2"/>
    <w:qFormat/>
    <w:uiPriority w:val="9"/>
    <w:rPr>
      <w:rFonts w:ascii="Calibri" w:hAnsi="Calibri" w:eastAsia="宋体" w:cs="Times New Roman"/>
      <w:b/>
      <w:bCs/>
      <w:sz w:val="28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33</TotalTime>
  <ScaleCrop>false</ScaleCrop>
  <LinksUpToDate>false</LinksUpToDate>
  <CharactersWithSpaces>0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2024-05-05T15:07:00Z</dcterms:created>
  <dc:creator>绛绛.</dc:creator>
  <cp:lastModifiedBy>绛绛.</cp:lastModifiedBy>
  <dcterms:modified xsi:type="dcterms:W3CDTF">2024-05-05T15:53:20Z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8296C59C4C22443EABBC9DE81483BAB8_11</vt:lpwstr>
  </property>
</Properties>
</file>