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231732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00F8905E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59B9982F">
      <w:pPr>
        <w:rPr>
          <w:rFonts w:hint="eastAsia" w:ascii="黑体" w:hAnsi="黑体" w:eastAsia="黑体" w:cs="黑体"/>
          <w:b/>
          <w:bCs/>
          <w:sz w:val="24"/>
        </w:rPr>
      </w:pPr>
    </w:p>
    <w:p w14:paraId="54C73D75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6183EB7A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49ED371E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42A2E698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实验10 QLoRA 量化微调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1F5DA24D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6277613A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0D4300D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841ACE8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808AC2C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0BE7D27B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42381641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55C0D44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6D619E90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415923E5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664C7A9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6FAE7ADE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6170701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52542701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29EA3648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23DD1D2F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ascii="宋体" w:hAnsi="宋体"/>
          <w:szCs w:val="21"/>
        </w:rPr>
        <w:t>QLoRA 量化微调</w:t>
      </w:r>
    </w:p>
    <w:p w14:paraId="5720AF89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7EE4730E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2E7F3D08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 QLoRA 量化微调的基本概念和原理；</w:t>
      </w:r>
    </w:p>
    <w:p w14:paraId="1B4ECBB3">
      <w:pPr>
        <w:pStyle w:val="10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</w:rPr>
        <w:t>（2）掌握基于 4bit 量化加载与 LoRA adapter 的低显存微调开发流程。</w:t>
      </w:r>
    </w:p>
    <w:p w14:paraId="5685DA6A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13DF103B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239B3FCB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5118146B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329A8E9B">
      <w:pPr>
        <w:rPr>
          <w:rFonts w:hint="eastAsia" w:ascii="宋体" w:hAnsi="宋体" w:cs="PMingLiU"/>
          <w:kern w:val="0"/>
          <w:sz w:val="24"/>
        </w:rPr>
      </w:pPr>
    </w:p>
    <w:p w14:paraId="4F3AB304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3861CCC3">
      <w:pPr>
        <w:rPr>
          <w:rFonts w:ascii="宋体" w:hAnsi="宋体"/>
          <w:b/>
          <w:bCs/>
          <w:szCs w:val="21"/>
        </w:rPr>
      </w:pPr>
    </w:p>
    <w:p w14:paraId="43CE9DF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 QLoRA 量化微调课前环境准备。</w:t>
      </w:r>
    </w:p>
    <w:p w14:paraId="54CD33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（1.1）检查基础开发环境：确认已安装 VS Code、Anaconda，并能够正常创建和激活 Conda 环境。</w:t>
      </w:r>
    </w:p>
    <w:p w14:paraId="4C47CB3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（1.2）创建独立 Conda 环境：使用 conda create -n fine-tuning python=3.12 -y 创建环境，并使用 conda activate fine-tuning 激活环境。</w:t>
      </w:r>
    </w:p>
    <w:p w14:paraId="452A1A4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（1.3）配置 pip 镜像源：按照实验手册要求，将 pip 全局镜像源配置为清华源，提高依赖安装稳定性。</w:t>
      </w:r>
    </w:p>
    <w:p w14:paraId="3B46A0D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（1.4）安装 Python 依赖环境：确认当前环境中已安装 transformers、torch、huggingface_hub、accelerate、trl、datasets、tensorboard、peft、bitsandbytes、modelscope 等依赖库。</w:t>
      </w:r>
    </w:p>
    <w:p w14:paraId="60AA79C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（1.5）检查 GPU 与 CUDA 环境：运行 CUDA 检查程序，确认 torch 可以识别 GPU，并输出 torch 版本、CUDA 可用状态和显卡名称。（截图 CUDA 检查结果）</w:t>
      </w:r>
    </w:p>
    <w:p w14:paraId="1278ADBC">
      <w:pPr>
        <w:rPr>
          <w:rFonts w:hint="eastAsia" w:ascii="宋体" w:hAnsi="宋体"/>
          <w:szCs w:val="21"/>
        </w:rPr>
      </w:pPr>
      <w:r>
        <w:pict>
          <v:shape id="_x0000_i1026" o:spt="75" type="#_x0000_t75" style="height:84.4pt;width:414.6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7BD7B6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（1.6）理解本章实验目标：明确本章任务是在 LoRA 微调基础上引入 QLoRA，通过 4bit 量化加载基座模型，并结合 LoRA 适配器完成一次低显存条件下的参数高效微调。</w:t>
      </w:r>
    </w:p>
    <w:p w14:paraId="576A38D8">
      <w:pPr>
        <w:rPr>
          <w:rFonts w:ascii="宋体" w:hAnsi="宋体"/>
          <w:szCs w:val="21"/>
        </w:rPr>
      </w:pPr>
    </w:p>
    <w:p w14:paraId="2D7D132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（2）按照实验手册，完成训练数据集准备。</w:t>
      </w:r>
    </w:p>
    <w:p w14:paraId="348B7B3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（2.1）准备上一章自我认知数据集：确认已经得到 self_cognition_raw_repo\self-cognition_prompt_completion.jsonl 或对应的 Qwen3 格式自我认知数据文件。</w:t>
      </w:r>
    </w:p>
    <w:p w14:paraId="3559D3D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（2.2）读取自我认知数据：读取前几条样本，检查每条数据是否包含 prompt 和 completion 字段。（截图自我认知数据读取结果）</w:t>
      </w:r>
    </w:p>
    <w:p w14:paraId="2BE7A103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224.9pt;width:41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10306C4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（2.3）理解原有数据问题：明确上一章自我认知数据存在回复较短、基本不包含真实思考过程的问题，因此本章需要引入更丰富的日常对话数据。</w:t>
      </w:r>
    </w:p>
    <w:p w14:paraId="222C38E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（2.4）下载 Qwen3-SFT-Mixin 数据集：从 ModelScope 下载 swift/Qwen3-SFT-Mixin 数据集，并确认本地目录中包含 qwen3_32b_distill_1k.jsonl 文件。</w:t>
      </w:r>
    </w:p>
    <w:p w14:paraId="1BFA610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（2.5）查看 Qwen3-SFT-Mixin 原始数据结构：观察数据中的 response、labels、messages 等字段，明确其中最适合作为训练输入的是 messages 字段。（截图原始数据结构）</w:t>
      </w:r>
    </w:p>
    <w:p w14:paraId="7B306A63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217pt;width:414.6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547DED2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（2.6）理解数据集选择目标：明确该数据集属于 Qwen3-32B 蒸馏生成的混合对话数据，能够补充更长、更自然、带有思考过程的日常问答样本。</w:t>
      </w:r>
    </w:p>
    <w:p w14:paraId="1E7C86E1">
      <w:pPr>
        <w:rPr>
          <w:rFonts w:ascii="宋体" w:hAnsi="宋体"/>
          <w:szCs w:val="21"/>
        </w:rPr>
      </w:pPr>
    </w:p>
    <w:p w14:paraId="59C34BB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 Qwen3-SFT-Mixin 数据格式转换。</w:t>
      </w:r>
    </w:p>
    <w:p w14:paraId="31298D4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（3.1）提取 messages 字段：从 qwen3_32b_distill_1k.jsonl 中逐行读取数据，将每条样本中的 messages 字段单独提取出来。</w:t>
      </w:r>
    </w:p>
    <w:p w14:paraId="64F29F2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（3.2）保存 messages 数据：将提取后的数据保存为 qwen3_32b_distill_1k_messages.jsonl 文件。</w:t>
      </w:r>
    </w:p>
    <w:p w14:paraId="45BD7C0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（3.3）检查 messages 提取结果：确认输出数据只保留 messages 字段，并且其中包含用户问题和 assistant 回复。（截图 messages 提取结果）</w:t>
      </w:r>
    </w:p>
    <w:p w14:paraId="30EC71DE">
      <w:pPr>
        <w:rPr>
          <w:rFonts w:hint="eastAsia" w:ascii="宋体" w:hAnsi="宋体"/>
          <w:szCs w:val="21"/>
        </w:rPr>
      </w:pPr>
      <w:r>
        <w:pict>
          <v:shape id="_x0000_i1029" o:spt="75" type="#_x0000_t75" style="height:106pt;width:41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5B789B5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（3.4）转换为 prompt-completion 格式：将每条 messages 数据拆分为 prompt 和 completion，其中最后一条 assistant 消息作为 completion，前面的消息作为 prompt。</w:t>
      </w:r>
    </w:p>
    <w:p w14:paraId="42DE94D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（3.5）保存转换后的数据：将转换后的数据保存为 qwen3_32b_distill_1k_prompt_completion.jsonl 文件。</w:t>
      </w:r>
    </w:p>
    <w:p w14:paraId="0801D3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（3.6）检查转换后数据结构：重新读取转换后的文件，确认字段为 prompt 和 completion，并确认 assistant 回复中保留了 &lt;think&gt; 思考过程。（截图 prompt-completion 转换结果）</w:t>
      </w:r>
    </w:p>
    <w:p w14:paraId="55906979">
      <w:pPr>
        <w:rPr>
          <w:rFonts w:ascii="宋体" w:hAnsi="宋体"/>
          <w:szCs w:val="21"/>
        </w:rPr>
      </w:pPr>
      <w:r>
        <w:pict>
          <v:shape id="_x0000_i1030" o:spt="75" type="#_x0000_t75" style="height:105.55pt;width:414.5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24A2565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（4）按照实验手册，完成混合训练数据集构建。</w:t>
      </w:r>
    </w:p>
    <w:p w14:paraId="102652E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（4.1）加载日常对话数据：读取 qwen3_32b_distill_1k_prompt_completion.jsonl，确认日常对话数据约为 1000 条。</w:t>
      </w:r>
    </w:p>
    <w:p w14:paraId="3C457F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（4.2）加载自我认知数据：读取自我认知 prompt-completion 数据文件，确认自我认知数据约为 108 条。</w:t>
      </w:r>
    </w:p>
    <w:p w14:paraId="5A688A7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（4.3）理解数据比例问题：明确如果直接混合 1000 条日常对话和 108 条自我认知数据，自我认知样本占比过低，模型可能无法稳定学习身份认知内容。</w:t>
      </w:r>
    </w:p>
    <w:p w14:paraId="46E614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（4.4）重复自我认知数据：将自我认知数据重复 3 倍，使自我认知样本数量增加到约 324 条。</w:t>
      </w:r>
    </w:p>
    <w:p w14:paraId="34D9CE4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（4.5）合并两个数据集：将 1000 条日常对话数据与重复后的自我认知数据合并，形成混合训练数据。</w:t>
      </w:r>
    </w:p>
    <w:p w14:paraId="67E7605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（4.6）随机打乱混合数据：使用固定随机种子对混合数据进行打乱，避免同类样本集中分布影响训练。</w:t>
      </w:r>
    </w:p>
    <w:p w14:paraId="6DB1B9E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（4.7）保存最终训练数据集：将混合后的数据保存为 mixed_prompt_completion_repeat3.jsonl。</w:t>
      </w:r>
    </w:p>
    <w:p w14:paraId="4DDE08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（4.8）检查混合结果：确认最终数据总量约为 1324 条，其中日常对话约占 75.53%，自我认知约占 24.47%。（截图混合数据统计结果）</w:t>
      </w:r>
    </w:p>
    <w:p w14:paraId="6A5FFE10">
      <w:pPr>
        <w:rPr>
          <w:rFonts w:ascii="宋体" w:hAnsi="宋体"/>
          <w:szCs w:val="21"/>
        </w:rPr>
      </w:pPr>
      <w:r>
        <w:pict>
          <v:shape id="_x0000_i1028" o:spt="75" type="#_x0000_t75" style="height:125.35pt;width:414.9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68238D0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（5）按照实验手册，完成数据集加载与长度分析。</w:t>
      </w:r>
    </w:p>
    <w:p w14:paraId="4103480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（5.1）加载混合训练数据集：使用 datasets 中的 load_dataset 读取 mixed_prompt_completion_repeat3.jsonl。</w:t>
      </w:r>
    </w:p>
    <w:p w14:paraId="2D33C7F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（5.2）检查数据集基本信息：确认数据集字段为 prompt 和 completion，并确认样本数量约为 1324 条。（截图 Dataset 加载结果）</w:t>
      </w:r>
    </w:p>
    <w:p w14:paraId="6FF4FFEE">
      <w:pPr>
        <w:rPr>
          <w:rFonts w:hint="eastAsia" w:ascii="宋体" w:hAnsi="宋体"/>
          <w:szCs w:val="21"/>
        </w:rPr>
      </w:pPr>
      <w:r>
        <w:pict>
          <v:shape id="_x0000_i1032" o:spt="75" type="#_x0000_t75" style="height:133.25pt;width:414.9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24B641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（5.3）理解不划分验证集的原因：明确本次混合数据序列较长，在显存有限场景下进行验证集评估容易出现 OOM，因此本实验暂不划分训练集与验证集。</w:t>
      </w:r>
    </w:p>
    <w:p w14:paraId="075814B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（5.4）加载 tokenizer 进行长度统计：使用与训练一致的 Qwen3 tokenizer，并通过 apply_chat_template 将 prompt 和 completion 拼接为真实训练文本。</w:t>
      </w:r>
    </w:p>
    <w:p w14:paraId="6E05CE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（5.5）统计样本 token 长度：计算样本平均长度、中位数、p80、p90、p95、p99 和最大长度。</w:t>
      </w:r>
    </w:p>
    <w:p w14:paraId="3B72BD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（5.6）检查不同 max_length 下的截断比例：分别统计 256、384、512、768、1024、1536、2048 等长度下的截断比例。（截图 token 长度统计结果）</w:t>
      </w:r>
    </w:p>
    <w:p w14:paraId="5929E0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（5.7）确定最大序列长度：根据实验手册设置 max_length=1024，在信息保留、显存占用和训练可运行性之间取得平衡。</w:t>
      </w:r>
    </w:p>
    <w:p w14:paraId="4B3A3CB9">
      <w:pPr>
        <w:rPr>
          <w:rFonts w:ascii="宋体" w:hAnsi="宋体"/>
          <w:szCs w:val="21"/>
        </w:rPr>
      </w:pPr>
    </w:p>
    <w:p w14:paraId="7C01848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 QLoRA 模型与分词器准备。</w:t>
      </w:r>
    </w:p>
    <w:p w14:paraId="63E748C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（6.1）配置本地基座模型路径：将模型路径设置为本地 qwen 目录，确认该目录中已经包含 Qwen3-0.6B 基座模型文件。</w:t>
      </w:r>
    </w:p>
    <w:p w14:paraId="7D341AF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（6.2）配置 4bit 量化参数：使用 BitsAndBytesConfig 开启 load_in_4bit=True。</w:t>
      </w:r>
    </w:p>
    <w:p w14:paraId="02C9C86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（6.3）设置量化类型：将 bnb_4bit_quant_type 设置为 nf4，使用 QLoRA 中常用的 4bit 量化类型。</w:t>
      </w:r>
    </w:p>
    <w:p w14:paraId="37E214A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（6.4）启用二次量化：将 bnb_4bit_use_double_quant=True，进一步降低模型权重存储开销。</w:t>
      </w:r>
    </w:p>
    <w:p w14:paraId="189FF56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（6.5）设置计算精度：将 bnb_4bit_compute_dtype=torch.bfloat16，实现 4bit 权重常驻与 bf16 计算。</w:t>
      </w:r>
    </w:p>
    <w:p w14:paraId="78B73A4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（6.6）加载量化基座模型：使用 AutoModelForCausalLM.from_pretrained 加载模型，并传入 device_map="auto"、quantization_config=bnb_config、local_files_only=True 和 trust_remote_code=True。</w:t>
      </w:r>
    </w:p>
    <w:p w14:paraId="4946E84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（6.7）进行 k-bit 训练预处理：使用 prepare_model_for_kbit_training(model) 对量化模型进行训练前处理，提高后续训练稳定性。</w:t>
      </w:r>
    </w:p>
    <w:p w14:paraId="335AB32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（6.8）加载 tokenizer：使用 AutoTokenizer.from_pretrained 从本地模型目录加载 tokenizer，并确认其支持 Qwen3 对话模板处理。</w:t>
      </w:r>
    </w:p>
    <w:p w14:paraId="086C192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（6.9）确认模型和 tokenizer 加载成功：模型加载过程中无路径错误、显存错误或依赖错误。（截图 QLoRA 模型加载成功结果）</w:t>
      </w:r>
    </w:p>
    <w:p w14:paraId="15CBB8B7">
      <w:pPr>
        <w:rPr>
          <w:rFonts w:ascii="宋体" w:hAnsi="宋体"/>
          <w:szCs w:val="21"/>
        </w:rPr>
      </w:pPr>
      <w:r>
        <w:pict>
          <v:shape id="_x0000_i1033" o:spt="75" type="#_x0000_t75" style="height:28.85pt;width:414.35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3BF28E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 LoRA 适配器参数配置。</w:t>
      </w:r>
    </w:p>
    <w:p w14:paraId="4DEA903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（7.1）理解 QLoRA 与 LoRA 配置关系：明确 QLoRA 仍然使用普通的 LoraConfig 配置适配器，区别主要在于基座模型以 4bit 方式加载。</w:t>
      </w:r>
    </w:p>
    <w:p w14:paraId="7720746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（7.2）配置任务类型：将 task_type 设置为 TaskType.CAUSAL_LM，适配 Qwen3-0.6B 这类自回归语言模型。</w:t>
      </w:r>
    </w:p>
    <w:p w14:paraId="33604AA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（7.3）设置 LoRA 秩 r：使用 r=16，相比上一章 LoRA 实验提高适配器表达能力。</w:t>
      </w:r>
    </w:p>
    <w:p w14:paraId="6CB57B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（7.4）设置 LoRA 缩放系数：使用 lora_alpha=32，与 r 按 1:2 的比例配合。</w:t>
      </w:r>
    </w:p>
    <w:p w14:paraId="7BA32B2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（7.5）设置 LoRA dropout：使用 lora_dropout=0.05，降低训练过程中的过拟合风险。</w:t>
      </w:r>
    </w:p>
    <w:p w14:paraId="07628CC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（7.6）设置目标注入层：将 target_modules 设置为 "all-linear"，对模型中的线性层注入 LoRA 适配器。</w:t>
      </w:r>
    </w:p>
    <w:p w14:paraId="1648CB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（7.7）设置 bias 策略：使用 bias="none"，保持参数高效微调尽量少改动原模型参数。</w:t>
      </w:r>
    </w:p>
    <w:p w14:paraId="71F261EB">
      <w:pPr>
        <w:rPr>
          <w:rFonts w:ascii="宋体" w:hAnsi="宋体"/>
          <w:szCs w:val="21"/>
        </w:rPr>
      </w:pPr>
    </w:p>
    <w:p w14:paraId="71543F2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 SFT 训练参数配置。</w:t>
      </w:r>
    </w:p>
    <w:p w14:paraId="4F6D03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（8.1）设置训练输出目录：将 output_dir 设置为 ./qwen3-0.6B-sft-qlora 或实验手册中指定的 QLoRA 输出目录。</w:t>
      </w:r>
    </w:p>
    <w:p w14:paraId="0DE671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（8.2）设置 TensorBoard 日志目录：配置 TENSORBOARD_LOGGING_DIR 为 ./qwen3-0.6B-sft-qlora/runs，便于后续查看训练曲线。</w:t>
      </w:r>
    </w:p>
    <w:p w14:paraId="1CE2EA4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（8.3）设置学习率：使用 learning_rate=2e-4，避免在混合长样本数据上使用过高学习率导致训练不稳定。</w:t>
      </w:r>
    </w:p>
    <w:p w14:paraId="7E7FD2E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（8.4）设置 warmup 与学习率调度：使用 warmup_steps=0.05 和 lr_scheduler_type="cosine"，使训练过程更加平滑。</w:t>
      </w:r>
    </w:p>
    <w:p w14:paraId="7863D36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（8.5）设置 batch 与梯度累积：使用 per_device_train_batch_size=1 和 gradient_accumulation_steps=8，通过小 batch 加梯度累积降低显存压力。</w:t>
      </w:r>
    </w:p>
    <w:p w14:paraId="5521259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（8.6）启用梯度检查点：设置 gradient_checkpointing=True，并配置 gradient_checkpointing_kwargs={"use_reentrant": False}，通过计算换显存。</w:t>
      </w:r>
    </w:p>
    <w:p w14:paraId="42B42F3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（8.7）设置最大序列长度：使用前面统计后确定的 max_length=1024。</w:t>
      </w:r>
    </w:p>
    <w:p w14:paraId="27E6160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（8.8）设置训练轮数：使用 num_train_epochs=2，避免在重复采样的自我认知数据上训练过多轮导致过拟合。</w:t>
      </w:r>
    </w:p>
    <w:p w14:paraId="28B945F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（8.9）设置日志策略：配置 logging_strategy="steps" 和 logging_steps=10，每 10 个 step 输出一次训练日志。</w:t>
      </w:r>
    </w:p>
    <w:p w14:paraId="1E5BDA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（8.10）设置评估策略：将 eval_strategy="no"，本次训练不进行验证集评估，后续通过对话测试观察效果。</w:t>
      </w:r>
    </w:p>
    <w:p w14:paraId="620EF5B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（8.11）设置保存策略：配置 save_strategy="steps"、save_steps=40、save_total_limit=5，定期保存 checkpoint 并限制保存数量。</w:t>
      </w:r>
    </w:p>
    <w:p w14:paraId="0CD2F18F">
      <w:pPr>
        <w:rPr>
          <w:rFonts w:ascii="宋体" w:hAnsi="宋体"/>
          <w:szCs w:val="21"/>
        </w:rPr>
      </w:pPr>
    </w:p>
    <w:p w14:paraId="44B0B31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 QLoRA 模型训练。</w:t>
      </w:r>
    </w:p>
    <w:p w14:paraId="5F2A1A9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（9.1）构建 SFTTrainer：将量化后的模型、SFTConfig 训练参数、训练数据集和 LoRA 配置传入 SFTTrainer。</w:t>
      </w:r>
    </w:p>
    <w:p w14:paraId="4E97D70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（9.2）确认训练数据传入正确：确认 train_dataset 使用的是混合后的 mixed_prompt_completion_repeat3.jsonl 数据集。</w:t>
      </w:r>
    </w:p>
    <w:p w14:paraId="419A59A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（9.3）确认 peft_config 传入正确：确认 peft_config 使用的是本章配置的 QLoRA/LoRA 适配器参数。</w:t>
      </w:r>
    </w:p>
    <w:p w14:paraId="7BB2D6E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（9.4）启动训练：执行 trainer.train(resume_from_checkpoint=False)，从头开始训练模型。</w:t>
      </w:r>
    </w:p>
    <w:p w14:paraId="53B2CB9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（9.5）观察训练日志：重点观察 loss、grad_norm、token accuracy、entropy 等指标变化情况。（截图训练日志）</w:t>
      </w:r>
    </w:p>
    <w:p w14:paraId="4DDDB6E4">
      <w:pPr>
        <w:rPr>
          <w:rFonts w:hint="eastAsia" w:ascii="宋体" w:hAnsi="宋体"/>
          <w:szCs w:val="21"/>
        </w:rPr>
      </w:pPr>
      <w:r>
        <w:pict>
          <v:shape id="_x0000_i1034" o:spt="75" type="#_x0000_t75" style="height:389.75pt;width:415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680F3D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（9.6）检查 checkpoint 保存结果：确认训练过程中按照 save_steps=40 自动保存 checkpoint，并在输出目录中生成对应检查点文件夹。（截图 checkpoint 目录）</w:t>
      </w:r>
    </w:p>
    <w:p w14:paraId="26D9F49F">
      <w:pPr>
        <w:rPr>
          <w:rFonts w:hint="eastAsia" w:ascii="宋体" w:hAnsi="宋体"/>
          <w:szCs w:val="21"/>
        </w:rPr>
      </w:pPr>
      <w:r>
        <w:pict>
          <v:shape id="_x0000_i1035" o:spt="75" type="#_x0000_t75" style="height:175.5pt;width:250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0B4EBDC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（9.7）理解训练耗时：明确由于本次使用长序列数据、小 batch、梯度累积和梯度检查点，训练时间会明显长于上一章 LoRA 实验。</w:t>
      </w:r>
    </w:p>
    <w:p w14:paraId="2FBF3E3F">
      <w:pPr>
        <w:rPr>
          <w:rFonts w:ascii="宋体" w:hAnsi="宋体"/>
          <w:szCs w:val="21"/>
        </w:rPr>
      </w:pPr>
    </w:p>
    <w:p w14:paraId="0BE924A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（10）按照实验手册，完成训练结果分析。</w:t>
      </w:r>
    </w:p>
    <w:p w14:paraId="64EA2DD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（10.1）观察 loss 变化趋势：检查训练初期 loss 是否逐步下降，确认模型不是停留在原地不学习。</w:t>
      </w:r>
    </w:p>
    <w:p w14:paraId="2787F48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（10.2）观察训练稳定性：确认训练过程中没有出现 loss 长时间不下降、loss 剧烈震荡、梯度爆炸、训练中断等异常情况。</w:t>
      </w:r>
    </w:p>
    <w:p w14:paraId="6C45719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（10.3）观察整体收敛情况：结合 loss、token accuracy、entropy 和 grad_norm 判断模型是否在稳定学习当前混合数据。</w:t>
      </w:r>
    </w:p>
    <w:p w14:paraId="12CEFA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（10.4）理解训练日志局限：明确当前结果主要来自训练集日志，由于没有进行验证集评估，不能仅凭训练日志判断模型泛化效果已经最优。</w:t>
      </w:r>
    </w:p>
    <w:p w14:paraId="31E08CF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（10.5）总结训练结果：根据实验手册要求，将训练结果概括为训练过程是否稳定、模型是否持续收敛、参数配置是否能够正常工作。（截图 TensorBoard 或训练结果）</w:t>
      </w:r>
    </w:p>
    <w:p w14:paraId="68041346">
      <w:pPr>
        <w:rPr>
          <w:rFonts w:hint="eastAsia" w:ascii="宋体" w:hAnsi="宋体"/>
          <w:szCs w:val="21"/>
        </w:rPr>
      </w:pPr>
      <w:r>
        <w:pict>
          <v:shape id="_x0000_i1036" o:spt="75" type="#_x0000_t75" style="height:23.9pt;width:414.45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17E268A2">
      <w:pPr>
        <w:rPr>
          <w:rFonts w:ascii="宋体" w:hAnsi="宋体"/>
          <w:szCs w:val="21"/>
        </w:rPr>
      </w:pPr>
    </w:p>
    <w:p w14:paraId="2E4C476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（11）按照实验手册，完成 QLoRA 微调后模型测试。</w:t>
      </w:r>
    </w:p>
    <w:p w14:paraId="0BC468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（11.1）加载训练后的 checkpoint：使用 pipeline("text-generation", model=model_name_or_path) 加载训练后模型或指定 checkpoint。</w:t>
      </w:r>
    </w:p>
    <w:p w14:paraId="07C3EF2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（11.2）设置测试模型路径：将 model_name_or_path 指向训练输出目录中的有效 checkpoint，例如 qwen3-0.6B-sft-qlora-full\checkpoint-600 或实际训练得到的 checkpoint 路径。</w:t>
      </w:r>
    </w:p>
    <w:p w14:paraId="5B26ED3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（11.3）测试自我认知问题：输入“你是谁？/no_think”，观察模型是否能够正确回答自己的名称、作者或课程助手身份。（截图测试结果）</w:t>
      </w:r>
    </w:p>
    <w:p w14:paraId="4DB085B9">
      <w:pPr>
        <w:rPr>
          <w:rFonts w:hint="eastAsia" w:ascii="宋体" w:hAnsi="宋体"/>
          <w:szCs w:val="21"/>
        </w:rPr>
      </w:pPr>
      <w:r>
        <w:pict>
          <v:shape id="_x0000_i1038" o:spt="75" type="#_x0000_t75" style="height:52.85pt;width:414.6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0EDABF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（11.4）测试默认思考模式：输入“你是谁？”，观察模型是否会生成 &lt;think&gt; 思考过程，并比较其与 /no_think 模式下的差异。（截图测试结果）</w:t>
      </w:r>
    </w:p>
    <w:p w14:paraId="1341F1CF">
      <w:pPr>
        <w:rPr>
          <w:rFonts w:hint="eastAsia" w:ascii="宋体" w:hAnsi="宋体"/>
          <w:szCs w:val="21"/>
        </w:rPr>
      </w:pPr>
      <w:r>
        <w:pict>
          <v:shape id="_x0000_i1037" o:spt="75" type="#_x0000_t75" style="height:91.75pt;width:414.65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1FE9C34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（11.5）测试训练者认知问题：输入“你是谁训练的？/no_think”，观察模型是否能够稳定回答训练者相关信息。（截图测试结果）</w:t>
      </w:r>
    </w:p>
    <w:p w14:paraId="4B030F11">
      <w:pPr>
        <w:rPr>
          <w:rFonts w:hint="eastAsia" w:ascii="宋体" w:hAnsi="宋体"/>
          <w:szCs w:val="21"/>
        </w:rPr>
      </w:pPr>
      <w:r>
        <w:pict>
          <v:shape id="_x0000_i1039" o:spt="75" type="#_x0000_t75" style="height:46.45pt;width:415.1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17949F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（11.6）测试无 /no_think 的训练者问题：输入“你是谁训练的？”，观察模型是否能够在思考模式下给出较完整的回答。（截图测试结果）</w:t>
      </w:r>
    </w:p>
    <w:p w14:paraId="5AC59D13">
      <w:pPr>
        <w:rPr>
          <w:rFonts w:hint="eastAsia" w:ascii="宋体" w:hAnsi="宋体"/>
          <w:szCs w:val="21"/>
        </w:rPr>
      </w:pPr>
      <w:r>
        <w:pict>
          <v:shape id="_x0000_i1040" o:spt="75" type="#_x0000_t75" style="height:60.35pt;width:414.95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01C8DC1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（11.7）对比不同模式输出差异：重点比较带 /no_think 与不带 /no_think 时，模型在回复长度、思考过程、身份一致性和回答自然度上的区别。</w:t>
      </w:r>
    </w:p>
    <w:p w14:paraId="5CDD0E6B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（11.8）总结模型测试效果：判断模型是否同时保留了一定自我认知能力、较自然的回答风格以及思考模式下的长回复能力。</w:t>
      </w:r>
    </w:p>
    <w:bookmarkEnd w:id="2"/>
    <w:p w14:paraId="7CB98234">
      <w:pPr>
        <w:rPr>
          <w:rFonts w:hint="eastAsia" w:ascii="宋体" w:hAnsi="宋体"/>
          <w:szCs w:val="21"/>
        </w:rPr>
      </w:pPr>
    </w:p>
    <w:p w14:paraId="3076D40D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33343A0B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0AA9B99F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36FC4BA4">
      <w:pPr>
        <w:rPr>
          <w:rFonts w:hint="eastAsia" w:ascii="宋体" w:hAnsi="宋体"/>
          <w:szCs w:val="21"/>
        </w:rPr>
      </w:pPr>
    </w:p>
    <w:p w14:paraId="58BDEA82">
      <w:pPr>
        <w:rPr>
          <w:rFonts w:hint="eastAsia" w:ascii="宋体" w:hAnsi="宋体"/>
          <w:szCs w:val="21"/>
        </w:rPr>
      </w:pPr>
    </w:p>
    <w:p w14:paraId="363ACB48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262D0CC7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73F76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522C5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A1206"/>
    <w:rsid w:val="007C5549"/>
    <w:rsid w:val="00804BAE"/>
    <w:rsid w:val="00805699"/>
    <w:rsid w:val="008501CF"/>
    <w:rsid w:val="00860ECA"/>
    <w:rsid w:val="008B0736"/>
    <w:rsid w:val="008D2564"/>
    <w:rsid w:val="008D3126"/>
    <w:rsid w:val="008E4421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3186"/>
    <w:rsid w:val="00B23C24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1624B"/>
    <w:rsid w:val="00F206D3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AE3F68"/>
    <w:rsid w:val="62EB21ED"/>
    <w:rsid w:val="66C14778"/>
    <w:rsid w:val="687B4D5F"/>
    <w:rsid w:val="6A29132E"/>
    <w:rsid w:val="6C533158"/>
    <w:rsid w:val="6D0142EA"/>
    <w:rsid w:val="6D585166"/>
    <w:rsid w:val="6E311E9D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3884</Words>
  <Characters>6541</Characters>
  <Lines>53</Lines>
  <Paragraphs>14</Paragraphs>
  <TotalTime>255</TotalTime>
  <ScaleCrop>false</ScaleCrop>
  <LinksUpToDate>false</LinksUpToDate>
  <CharactersWithSpaces>7342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2026-08-13T05:19:24Z</dcterms:modified>
  <dc:title>实验报告模板</dc:title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50E5C1622EB2439F83ECAA21AE33F16C_13</vt:lpwstr>
  </property>
</Properties>
</file>