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1DEF6D1">
      <w:pPr>
        <w:rPr>
          <w:rFonts w:hint="eastAsia"/>
        </w:rPr>
      </w:pPr>
      <w:bookmarkStart w:id="3" w:name="_GoBack"/>
      <w:bookmarkEnd w:id="3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57422F96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26B1C30C">
      <w:pPr>
        <w:rPr>
          <w:rFonts w:hint="eastAsia" w:ascii="黑体" w:hAnsi="黑体" w:eastAsia="黑体" w:cs="黑体"/>
          <w:b/>
          <w:bCs/>
          <w:sz w:val="24"/>
        </w:rPr>
      </w:pPr>
    </w:p>
    <w:p w14:paraId="4E04BC33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70F75099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1F0EA3F0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2DC4C066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实验17 基于ms-swift的视觉大模型应用及微调实战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07EE19F8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4125590D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22C8DDC8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28D35447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01D87C3D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0B3FD85D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62109C2F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7CF95ACA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62A6D3BC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58E2054F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72C6744A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02F15BCD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010C39AE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480C7E24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75B0242B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ascii="宋体" w:hAnsi="宋体"/>
          <w:szCs w:val="21"/>
        </w:rPr>
        <w:t>基于ms-swift的视觉大模型应用及微调实战</w:t>
      </w:r>
    </w:p>
    <w:p w14:paraId="12F1F024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301BC6DC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0B06D597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</w:t>
      </w:r>
      <w:r>
        <w:rPr>
          <w:rFonts w:hint="eastAsia" w:ascii="宋体" w:hAnsi="宋体" w:eastAsia="宋体"/>
          <w:kern w:val="2"/>
          <w:sz w:val="21"/>
          <w:lang w:eastAsia="zh-CN"/>
        </w:rPr>
        <w:t>视觉大模型</w:t>
      </w:r>
      <w:r>
        <w:rPr>
          <w:rFonts w:hint="eastAsia" w:ascii="宋体" w:hAnsi="宋体" w:eastAsia="宋体"/>
          <w:kern w:val="2"/>
          <w:sz w:val="21"/>
        </w:rPr>
        <w:t>基本概念和原理；</w:t>
      </w:r>
    </w:p>
    <w:p w14:paraId="6818BC13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（2）掌握ms-swift全栈开发技术；</w:t>
      </w:r>
    </w:p>
    <w:p w14:paraId="7E644BE8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225FE78A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162F3136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6AFADFC2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71AB3A5A">
      <w:pPr>
        <w:rPr>
          <w:rFonts w:hint="eastAsia" w:ascii="宋体" w:hAnsi="宋体" w:cs="PMingLiU"/>
          <w:kern w:val="0"/>
          <w:sz w:val="24"/>
        </w:rPr>
      </w:pPr>
    </w:p>
    <w:p w14:paraId="6780291D">
      <w:pPr>
        <w:numPr>
          <w:ilvl w:val="0"/>
          <w:numId w:val="1"/>
        </w:numPr>
        <w:rPr>
          <w:rFonts w:ascii="宋体" w:hAnsi="宋体"/>
          <w:szCs w:val="21"/>
        </w:rPr>
      </w:pPr>
      <w:bookmarkStart w:id="2" w:name="OLE_LINK1"/>
      <w:r>
        <w:rPr>
          <w:rFonts w:ascii="宋体" w:hAnsi="宋体"/>
          <w:szCs w:val="21"/>
        </w:rPr>
        <w:t>实验操作</w:t>
      </w:r>
    </w:p>
    <w:p w14:paraId="33A7EBE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（1）按照实验手册，完成视觉大模型课前环境准备。</w:t>
      </w:r>
    </w:p>
    <w:p w14:paraId="68CADD7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（1.1）理解本章实验目标：明确本章任务是使用 ms-swift 完成 Qwen3-VL 视觉大模型的调用、数据准备、LoRA 微调、部署、测评和上传。</w:t>
      </w:r>
    </w:p>
    <w:p w14:paraId="39FAE07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（1.2）准备云服务器环境：选择具备较大显存的 GPU 云服务器，建议显存在 24GB 以上，以满足视觉大模型推理和微调需求。</w:t>
      </w:r>
    </w:p>
    <w:p w14:paraId="6D629EE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（1.3）完成远程开发连接：使用 VS Code Remote SSH 或 JupyterLab 连接云服务器。</w:t>
      </w:r>
    </w:p>
    <w:p w14:paraId="65DAD22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（1.4）检查 GPU 环境：运行 nvidia-smi，确认 GPU 型号、显存大小、驱动版本和当前显存占用情况。（截图 GPU 检查结果）</w:t>
      </w:r>
    </w:p>
    <w:p w14:paraId="496AFCEE">
      <w:pPr>
        <w:rPr>
          <w:rFonts w:hint="eastAsia" w:ascii="宋体" w:hAnsi="宋体"/>
          <w:szCs w:val="21"/>
        </w:rPr>
      </w:pPr>
    </w:p>
    <w:p w14:paraId="6F1EA6A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（1.5）安装基础依赖：配置 Python、PyTorch、ModelScope、ms-swift、vLLM、EvalScope 等实验所需依赖。</w:t>
      </w:r>
    </w:p>
    <w:p w14:paraId="5C40DC9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（1.6）设置缓存路径：将 MODELSCOPE_CACHE、HF_HOME、HF_DATASETS_CACHE、HF_HUB_CACHE 等缓存目录设置到 /root/autodl-tmp 数据盘，避免系统盘空间不足。</w:t>
      </w:r>
    </w:p>
    <w:p w14:paraId="425FFF5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（1.7）理解路径规划原则：代码脚本放在 /root/ms-swift，模型、数据集缓存和训练输出放在 /root/autodl-tmp。材料中特别强调，这样可以避免模型、数据和 checkpoint 占满系统盘。</w:t>
      </w:r>
    </w:p>
    <w:p w14:paraId="0C70B66A">
      <w:pPr>
        <w:rPr>
          <w:rFonts w:ascii="宋体" w:hAnsi="宋体"/>
          <w:szCs w:val="21"/>
        </w:rPr>
      </w:pPr>
    </w:p>
    <w:p w14:paraId="5E6934D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（2）按照实验手册，完成 Qwen3-VL 模型准备。</w:t>
      </w:r>
    </w:p>
    <w:p w14:paraId="06B2941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（2.1）选择实验模型：使用 Qwen/Qwen3-VL-2B-Instruct 作为本章教学实验模型。</w:t>
      </w:r>
    </w:p>
    <w:p w14:paraId="7BCB335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（2.2）理解模型选择原因：该模型规模较小，既能体现视觉语言模型能力，又相对适合教学环境下完成推理、微调和部署流程。</w:t>
      </w:r>
    </w:p>
    <w:p w14:paraId="061DF70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（2.3）使用 ModelScope 下载模型：将模型下载到 /root/autodl-tmp/qwen3-vl-2b-instruct。</w:t>
      </w:r>
    </w:p>
    <w:p w14:paraId="3205500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（2.4）检查模型目录：确认目录中包含模型权重、配置文件、tokenizer 文件和视觉处理相关文件。（截图模型下载目录）</w:t>
      </w:r>
    </w:p>
    <w:p w14:paraId="1C9C45EF">
      <w:pPr>
        <w:rPr>
          <w:rFonts w:hint="eastAsia" w:ascii="宋体" w:hAnsi="宋体"/>
          <w:szCs w:val="21"/>
        </w:rPr>
      </w:pPr>
      <w:r>
        <w:pict>
          <v:shape id="_x0000_i1027" o:spt="75" type="#_x0000_t75" style="height:246.45pt;width:414.9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43467F5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（2.5）记录模型路径：后续推理、训练、部署和评测均使用该模型路径作为基础模型路径。</w:t>
      </w:r>
    </w:p>
    <w:p w14:paraId="7AC42013">
      <w:pPr>
        <w:rPr>
          <w:rFonts w:ascii="宋体" w:hAnsi="宋体"/>
          <w:szCs w:val="21"/>
        </w:rPr>
      </w:pPr>
    </w:p>
    <w:p w14:paraId="5895B66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（3）按照实验手册，完成视觉大模型基本认知。</w:t>
      </w:r>
    </w:p>
    <w:p w14:paraId="2E7BE15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（3.1）理解 VLM 基本概念：明确视觉大模型能够同时处理图片、视频和文本输入，并根据多模态信息生成自然语言回答。</w:t>
      </w:r>
    </w:p>
    <w:p w14:paraId="19D6471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（3.2）理解 VLM 与文本大模型的区别：视觉大模型不只是多传一张图片，而是需要处理视觉编码、跨模态连接和语言生成等完整过程。</w:t>
      </w:r>
    </w:p>
    <w:p w14:paraId="68BB3A9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（3.3）理解 VLM 与传统视觉模型的区别：传统视觉模型多面向分类、检测、分割、OCR 等固定任务，而视觉大模型更强调开放式视觉问答、图文理解和多轮交互。</w:t>
      </w:r>
    </w:p>
    <w:p w14:paraId="285FC9F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（3.4）理解 VLM 核心结构：掌握视觉编码器、跨模态连接器和大语言模型三部分的基本作用。</w:t>
      </w:r>
    </w:p>
    <w:p w14:paraId="1491DFD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（3.5）理解 Qwen-VL 系列演进：了解 Qwen-VL、Qwen2-VL、Qwen2.5-VL 到 Qwen3-VL 在图像理解、文档解析、视频理解和复杂视觉推理方面的持续增强。</w:t>
      </w:r>
    </w:p>
    <w:p w14:paraId="371260AE">
      <w:pPr>
        <w:rPr>
          <w:rFonts w:ascii="宋体" w:hAnsi="宋体"/>
          <w:szCs w:val="21"/>
        </w:rPr>
      </w:pPr>
    </w:p>
    <w:p w14:paraId="4726E99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（4）按照实验手册，完成基础图片推理测试。</w:t>
      </w:r>
    </w:p>
    <w:p w14:paraId="4A6D906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（4.1）准备测试图片：选择一张本地图片或网络图片作为视觉输入。</w:t>
      </w:r>
    </w:p>
    <w:p w14:paraId="19C532A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（4.2）使用 ms-swift 进行图片推理：通过 swift 推理接口或 Python 推理代码加载 Qwen3-VL 模型。</w:t>
      </w:r>
    </w:p>
    <w:p w14:paraId="4CABFB5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（4.3）构造图文输入：在用户问题中加入 &lt;image&gt; 占位符，并传入图片路径。</w:t>
      </w:r>
    </w:p>
    <w:p w14:paraId="0CB4BA7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（4.4）设置生成参数：根据实验需求设置 max_tokens、temperature 等参数。</w:t>
      </w:r>
    </w:p>
    <w:p w14:paraId="02FA893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（4.5）运行图片问答：输入“这张图片里有什么？”“请描述这张图”等问题，观察模型输出。（截图图片推理结果）</w:t>
      </w:r>
    </w:p>
    <w:p w14:paraId="69C88F8F">
      <w:pPr>
        <w:rPr>
          <w:rFonts w:hint="eastAsia" w:ascii="宋体" w:hAnsi="宋体"/>
          <w:szCs w:val="21"/>
        </w:rPr>
      </w:pPr>
      <w:r>
        <w:pict>
          <v:shape id="_x0000_i1030" o:spt="75" type="#_x0000_t75" style="height:199.1pt;width:414.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0DFDCA9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（4.6）分析输出结果：判断模型是否能够正确识别图片主体、场景和关键细节。</w:t>
      </w:r>
    </w:p>
    <w:p w14:paraId="3F15D2B4">
      <w:pPr>
        <w:rPr>
          <w:rFonts w:ascii="宋体" w:hAnsi="宋体"/>
          <w:szCs w:val="21"/>
        </w:rPr>
      </w:pPr>
    </w:p>
    <w:p w14:paraId="40AEC46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（5）按照实验手册，完成视频推理测试。</w:t>
      </w:r>
    </w:p>
    <w:p w14:paraId="6BD88AC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（5.1）准备视频输入：使用本地视频文件或公开测试视频。</w:t>
      </w:r>
    </w:p>
    <w:p w14:paraId="0504EFA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（5.2）设置视频相关环境变量：根据显存情况设置 VIDEO_MAX_TOKEN_NUM、FPS_MAX_FRAMES 等参数。</w:t>
      </w:r>
    </w:p>
    <w:p w14:paraId="277F638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（5.3）使用 ms-swift 或 VllmEngine 调用视频输入。</w:t>
      </w:r>
    </w:p>
    <w:p w14:paraId="7A62696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（5.4）构造视频问答请求：在用户问题中加入 &lt;video&gt; 占位符，并传入视频路径。</w:t>
      </w:r>
    </w:p>
    <w:p w14:paraId="7EAAA1C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（5.5）运行视频理解任务：输入“描述一下这个视频”“视频中发生了什么”等问题，观察模型输出。材料中示例使用 VllmEngine，并通过 limit_mm_per_prompt 限制每个请求中的视频和图片数量，以控制显存占用。</w:t>
      </w:r>
    </w:p>
    <w:p w14:paraId="55CE78C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（5.6）分析视频输出：判断模型是否能够理解画面内容、动作变化和事件过程。（截图视频推理结果）</w:t>
      </w:r>
    </w:p>
    <w:p w14:paraId="189FFFE8">
      <w:pPr>
        <w:rPr>
          <w:rFonts w:ascii="宋体" w:hAnsi="宋体"/>
          <w:szCs w:val="21"/>
        </w:rPr>
      </w:pPr>
      <w:r>
        <w:pict>
          <v:shape id="_x0000_i1028" o:spt="75" type="#_x0000_t75" style="height:222.1pt;width:414.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6D00AE8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（6）按照实验手册，完成 ms-swift 命令行推理。</w:t>
      </w:r>
    </w:p>
    <w:p w14:paraId="7E71B3C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（6.1）使用 swift infer 进行模型调用。</w:t>
      </w:r>
    </w:p>
    <w:p w14:paraId="777BC05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（6.2）指定模型路径为 /root/autodl-tmp/qwen3-vl-2b-instruct。</w:t>
      </w:r>
    </w:p>
    <w:p w14:paraId="3CEA628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（6.3）输入图文或视频任务问题，观察命令行交互结果。</w:t>
      </w:r>
    </w:p>
    <w:p w14:paraId="6E33534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（6.4）检查推理过程中是否出现显存不足、路径错误或多模态输入格式错误。</w:t>
      </w:r>
    </w:p>
    <w:p w14:paraId="4529F5FC">
      <w:pPr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/>
          <w:szCs w:val="21"/>
        </w:rPr>
        <w:t>（6.5）理解命令行推理作用：用于快速验证模型是否能够正常加载和处理多模态输入。（截图 swift infer 推理结果）</w:t>
      </w:r>
    </w:p>
    <w:p w14:paraId="3415F98E">
      <w:pPr>
        <w:rPr>
          <w:rFonts w:ascii="宋体" w:hAnsi="宋体"/>
          <w:szCs w:val="21"/>
        </w:rPr>
      </w:pPr>
    </w:p>
    <w:p w14:paraId="325FE83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（7）按照实验手册，完成公开数据集快速 LoRA 微调。</w:t>
      </w:r>
    </w:p>
    <w:p w14:paraId="681A876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（7.1）理解快速训练目标：本阶段不从零制作数据，而是先使用 ms-swift 已适配的数据集，快速跑通 VLM 微调流程。</w:t>
      </w:r>
    </w:p>
    <w:p w14:paraId="6297A84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（7.2）设置模型路径、缓存路径和输出路径。</w:t>
      </w:r>
    </w:p>
    <w:p w14:paraId="3F4FEF8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（7.3）选择混合训练数据集：使用中文文本指令数据、LaTeX OCR 图像数据和视频理解数据。材料中示例包括 AI-ModelScope/alpaca-gpt4-data-zh、AI-ModelScope/LaTeX_OCR:human_handwrite 和 swift/VideoChatGPT:Generic。</w:t>
      </w:r>
    </w:p>
    <w:p w14:paraId="6F9362B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（7.4）设置小规模样本数量：例如分别抽取 100 条文本数据、50 条图像 OCR 数据和 20 条视频数据，用于流程验证。</w:t>
      </w:r>
    </w:p>
    <w:p w14:paraId="334583D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（7.5）配置 LoRA 训练参数：设置输出目录、训练轮数、学习率、batch size、LoRA 秩、梯度累积等参数。</w:t>
      </w:r>
    </w:p>
    <w:p w14:paraId="3C2157E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（7.6）根据 VLM 特点设置冻结策略：根据实验要求决定是否冻结视觉编码器、连接模块或语言模型部分。</w:t>
      </w:r>
    </w:p>
    <w:p w14:paraId="7CEFECB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（7.7）启动 swift sft 训练流程。</w:t>
      </w:r>
    </w:p>
    <w:p w14:paraId="6D933C4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（7.8）观察训练日志：重点关注 loss、显存占用、训练速度和 checkpoint 保存情况。（截图训练日志）</w:t>
      </w:r>
    </w:p>
    <w:p w14:paraId="61EAB36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（7.9）检查输出目录：确认生成 LoRA adapter、训练配置和 checkpoint 文件。（截图训练输出目录）</w:t>
      </w:r>
    </w:p>
    <w:p w14:paraId="6CCC2243">
      <w:pPr>
        <w:rPr>
          <w:rFonts w:ascii="宋体" w:hAnsi="宋体"/>
          <w:szCs w:val="21"/>
        </w:rPr>
      </w:pPr>
    </w:p>
    <w:p w14:paraId="209ACC7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（8）按照实验手册，完成自定义 LaTeX OCR 数据集构建。</w:t>
      </w:r>
    </w:p>
    <w:p w14:paraId="7C348F3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（8.1）理解任务目标：将手写公式图片转换为对应 LaTeX 表达式，构建视觉 OCR 微调数据。</w:t>
      </w:r>
    </w:p>
    <w:p w14:paraId="218857E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（8.2）加载 ModelScope 数据集：使用 AI-ModelScope/LaTeX_OCR:human_handwrite 数据集。</w:t>
      </w:r>
    </w:p>
    <w:p w14:paraId="5294E90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（8.3）查看原始字段：确认数据集中包含图片字段和 LaTeX 标注字段。材料中显示该数据集核心字段为 image 和 text，分别对应手写公式图片和 LaTeX 标注。</w:t>
      </w:r>
    </w:p>
    <w:p w14:paraId="0DAB7EC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（8.4）保存图片文件：将样本中的图片统一保存到本地 images/ 目录。</w:t>
      </w:r>
    </w:p>
    <w:p w14:paraId="231009B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（8.5）转换为 ms-swift 多模态 JSONL 格式：每条样本包含用户问题、图片路径和模型应输出的 LaTeX 表达式。</w:t>
      </w:r>
    </w:p>
    <w:p w14:paraId="2AA4338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（8.6）划分训练集与验证集：按照设定比例生成 train.jsonl 和 val.jsonl。</w:t>
      </w:r>
    </w:p>
    <w:p w14:paraId="42C8953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（8.7）检查数据目录：确认目录中包含 images/、train.jsonl 和 val.jsonl。（截图自定义数据集目录）</w:t>
      </w:r>
    </w:p>
    <w:p w14:paraId="31007F53">
      <w:pPr>
        <w:rPr>
          <w:rFonts w:hint="eastAsia" w:ascii="宋体" w:hAnsi="宋体"/>
          <w:szCs w:val="21"/>
        </w:rPr>
      </w:pPr>
      <w:r>
        <w:pict>
          <v:shape id="_x0000_i1031" o:spt="75" type="#_x0000_t75" style="height:278.95pt;width:415.0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61983F4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（8.8）检查 JSONL 样例：确认图片路径正确、问题格式正确、答案为对应 LaTeX 标注。（截图自定义数据样例）</w:t>
      </w:r>
    </w:p>
    <w:p w14:paraId="56783ACD">
      <w:pPr>
        <w:rPr>
          <w:rFonts w:hint="eastAsia" w:ascii="宋体" w:hAnsi="宋体"/>
          <w:szCs w:val="21"/>
        </w:rPr>
      </w:pPr>
      <w:r>
        <w:pict>
          <v:shape id="_x0000_i1032" o:spt="75" type="#_x0000_t75" style="height:278.95pt;width:415.0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67A0CC76">
      <w:pPr>
        <w:rPr>
          <w:rFonts w:ascii="宋体" w:hAnsi="宋体"/>
          <w:szCs w:val="21"/>
        </w:rPr>
      </w:pPr>
    </w:p>
    <w:p w14:paraId="462A11A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（9）按照实验手册，完成自定义数据集 LoRA 微调。</w:t>
      </w:r>
    </w:p>
    <w:p w14:paraId="10F596B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（9.1）设置训练脚本路径和输出路径。</w:t>
      </w:r>
    </w:p>
    <w:p w14:paraId="2B15047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（9.2）将训练数据改为自定义 LaTeX OCR 数据集的 train.jsonl。</w:t>
      </w:r>
    </w:p>
    <w:p w14:paraId="1F72DD4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（9.3）将验证数据改为自定义 LaTeX OCR 数据集的 val.jsonl。</w:t>
      </w:r>
    </w:p>
    <w:p w14:paraId="0693423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（9.4）配置 LoRA 参数和训练参数。</w:t>
      </w:r>
    </w:p>
    <w:p w14:paraId="07C6A7E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（9.5）启动基于自定义数据集的 swift sft 训练。</w:t>
      </w:r>
    </w:p>
    <w:p w14:paraId="4309C47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（9.6）观察训练日志，确认模型能够正常读取图片和标注文本。（截图自定义数据训练日志）</w:t>
      </w:r>
    </w:p>
    <w:p w14:paraId="7BC35AAA">
      <w:pPr>
        <w:rPr>
          <w:rFonts w:hint="eastAsia" w:ascii="宋体" w:hAnsi="宋体"/>
          <w:szCs w:val="21"/>
        </w:rPr>
      </w:pPr>
    </w:p>
    <w:p w14:paraId="2746367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（9.7）检查训练结果目录，确认生成 checkpoint 和 adapter 文件。（截图 LoRA adapter 输出目录）</w:t>
      </w:r>
    </w:p>
    <w:p w14:paraId="26F6F9A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（9.8）理解训练结果：当前保存的主要是 LoRA adapter，而不是完整合并模型。</w:t>
      </w:r>
    </w:p>
    <w:p w14:paraId="35DD3FF8">
      <w:pPr>
        <w:rPr>
          <w:rFonts w:ascii="宋体" w:hAnsi="宋体"/>
          <w:szCs w:val="21"/>
        </w:rPr>
      </w:pPr>
    </w:p>
    <w:p w14:paraId="4A79C14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（10）按照实验手册，完成 LoRA adapter 推理测试。</w:t>
      </w:r>
    </w:p>
    <w:p w14:paraId="3DE83A0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（10.1）加载原始 Qwen3-VL 基座模型。</w:t>
      </w:r>
    </w:p>
    <w:p w14:paraId="4C08983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（10.2）挂载训练得到的 LoRA adapter。</w:t>
      </w:r>
    </w:p>
    <w:p w14:paraId="3207244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（10.3）使用测试公式图片进行推理。</w:t>
      </w:r>
    </w:p>
    <w:p w14:paraId="011B194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（10.4）输入“请识别图片中的公式，并输出 LaTeX 表达式”等问题。</w:t>
      </w:r>
    </w:p>
    <w:p w14:paraId="00D695A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（10.5）观察模型输出是否更接近目标 LaTeX 标注。（截图 adapter 推理结果）</w:t>
      </w:r>
    </w:p>
    <w:p w14:paraId="4E8225F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（10.6）与原始模型输出进行对比：观察微调前后在手写公式识别任务上的变化。</w:t>
      </w:r>
    </w:p>
    <w:p w14:paraId="1C1C6EB2">
      <w:pPr>
        <w:rPr>
          <w:rFonts w:ascii="宋体" w:hAnsi="宋体"/>
          <w:szCs w:val="21"/>
        </w:rPr>
      </w:pPr>
    </w:p>
    <w:p w14:paraId="2870797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（11）按照实验手册，完成 LoRA 模型合并。</w:t>
      </w:r>
    </w:p>
    <w:p w14:paraId="77B8517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（11.1）理解模型合并目的：将 LoRA adapter 合并回基座模型，得到可以独立加载和部署的完整模型。</w:t>
      </w:r>
    </w:p>
    <w:p w14:paraId="3F4FAA6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（11.2）设置基座模型路径、adapter 路径和合并后模型保存路径。</w:t>
      </w:r>
    </w:p>
    <w:p w14:paraId="27C0F07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（11.3）使用 ms-swift 导出或合并命令完成模型合并。</w:t>
      </w:r>
    </w:p>
    <w:p w14:paraId="087D6A6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（11.4）检查合并后的模型目录：确认包含模型权重、配置文件、tokenizer 和视觉处理相关文件。（截图合并模型目录）</w:t>
      </w:r>
    </w:p>
    <w:p w14:paraId="20C0A71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（11.5）使用合并后的模型进行一次图片推理，确认模型可以独立运行。</w:t>
      </w:r>
    </w:p>
    <w:p w14:paraId="26005087">
      <w:pPr>
        <w:rPr>
          <w:rFonts w:ascii="宋体" w:hAnsi="宋体"/>
          <w:szCs w:val="21"/>
        </w:rPr>
      </w:pPr>
    </w:p>
    <w:p w14:paraId="3DD1825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（12）按照实验手册，完成 FP8 量化实验。</w:t>
      </w:r>
    </w:p>
    <w:p w14:paraId="1EB8D73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（12.1）理解量化目的：通过量化降低模型部署时的显存占用和推理成本。</w:t>
      </w:r>
    </w:p>
    <w:p w14:paraId="0CF4737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（12.2）理解 VLM 量化兼容性问题：视觉大模型量化需要考虑模型结构、量化库和推理框架是否兼容。材料中提到，Qwen3-VL 在当前环境下使用 AWQ 4bit 量化可能会遇到后端不支持 qwen3_vl 模型类型的问题，因此实验最终采用 FP8 路线。</w:t>
      </w:r>
    </w:p>
    <w:p w14:paraId="3C407F1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（12.3）设置合并后模型路径、FP8 量化输出路径和校准数据路径。</w:t>
      </w:r>
    </w:p>
    <w:p w14:paraId="1847D91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（12.4）运行 FP8 量化脚本。</w:t>
      </w:r>
    </w:p>
    <w:p w14:paraId="0843ACA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（12.5）检查量化后模型目录，确认模型文件成功生成。（截图 FP8 量化输出目录）</w:t>
      </w:r>
    </w:p>
    <w:p w14:paraId="43AC18D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（12.6）使用 FP8 模型进行简单推理，确认量化模型能够正常加载和回答。（截图 FP8 模型推理结果）</w:t>
      </w:r>
    </w:p>
    <w:p w14:paraId="5DADF52F">
      <w:pPr>
        <w:rPr>
          <w:rFonts w:ascii="宋体" w:hAnsi="宋体"/>
          <w:szCs w:val="21"/>
        </w:rPr>
      </w:pPr>
    </w:p>
    <w:p w14:paraId="3F736A0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（13）按照实验手册，完成 vLLM 后端部署。</w:t>
      </w:r>
    </w:p>
    <w:p w14:paraId="0125876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（13.1）理解部署目标：将训练或量化后的 Qwen3-VL 模型部署为 OpenAI 兼容 API 服务。</w:t>
      </w:r>
    </w:p>
    <w:p w14:paraId="14A8BFE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（13.2）使用 swift deploy 启动模型服务。</w:t>
      </w:r>
    </w:p>
    <w:p w14:paraId="2716730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（13.3）指定模型路径、推理后端、服务端口和多模态输入限制。</w:t>
      </w:r>
    </w:p>
    <w:p w14:paraId="312ED7F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（13.4）根据显存情况设置 max_model_len、max_num_seqs、gpu_memory_utilization 等参数。</w:t>
      </w:r>
    </w:p>
    <w:p w14:paraId="5E40DE4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（13.5）启动服务后观察终端日志，确认模型服务正常运行。（截图 swift deploy 启动结果）</w:t>
      </w:r>
    </w:p>
    <w:p w14:paraId="6A2947D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（13.6）理解 vLLM 部署参数意义：视觉输入会占用上下文长度和显存，因此需要合理控制图片数量、视频帧数和最大上下文长度。</w:t>
      </w:r>
    </w:p>
    <w:p w14:paraId="4BE25AB4">
      <w:pPr>
        <w:rPr>
          <w:rFonts w:ascii="宋体" w:hAnsi="宋体"/>
          <w:szCs w:val="21"/>
        </w:rPr>
      </w:pPr>
    </w:p>
    <w:p w14:paraId="783973F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（14）按照实验手册，完成 OpenAI 兼容接口调用。</w:t>
      </w:r>
    </w:p>
    <w:p w14:paraId="35CCAD1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（14.1）使用 OpenAI SDK 连接本地或云端部署服务。</w:t>
      </w:r>
    </w:p>
    <w:p w14:paraId="3AACFC1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（14.2）读取当前服务中的模型名称。</w:t>
      </w:r>
    </w:p>
    <w:p w14:paraId="00C73FA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（14.3）构造图文消息请求，传入图片路径或图片 URL。</w:t>
      </w:r>
    </w:p>
    <w:p w14:paraId="5957158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（14.4）调用 /v1/chat/completions 接口完成图片问答。</w:t>
      </w:r>
    </w:p>
    <w:p w14:paraId="7CC906B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（14.5）测试自定义 OCR 任务：上传公式图片，要求模型输出 LaTeX 表达式。</w:t>
      </w:r>
    </w:p>
    <w:p w14:paraId="061C67A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（14.6）观察 API 返回结果，确认模型服务能够正常处理视觉输入。（截图 API 调用结果）</w:t>
      </w:r>
    </w:p>
    <w:p w14:paraId="7332963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（14.7）理解接口部署意义：模型不再只是脚本中的推理对象，而是可以被外部应用、前端页面或评测框架调用的服务。</w:t>
      </w:r>
    </w:p>
    <w:p w14:paraId="44BA6A50">
      <w:pPr>
        <w:rPr>
          <w:rFonts w:ascii="宋体" w:hAnsi="宋体"/>
          <w:szCs w:val="21"/>
        </w:rPr>
      </w:pPr>
    </w:p>
    <w:p w14:paraId="1470B24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（15）按照实验手册，完成模型效果测评。</w:t>
      </w:r>
    </w:p>
    <w:p w14:paraId="5D4CAFA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（15.1）准备验证图片和对应标准答案。</w:t>
      </w:r>
    </w:p>
    <w:p w14:paraId="3EFB7B2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（15.2）使用 swift eval 或 EvalScope 对模型进行快速测评。</w:t>
      </w:r>
    </w:p>
    <w:p w14:paraId="096478A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（15.3）选择适合视觉任务的评估方式，例如 OCR 结果匹配、文本相似度或人工检查。</w:t>
      </w:r>
    </w:p>
    <w:p w14:paraId="4A2817F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（15.4）分别测试原始模型、LoRA adapter 模型、合并模型和量化模型。</w:t>
      </w:r>
    </w:p>
    <w:p w14:paraId="5C7366E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（15.5）对比不同模型版本在公式识别任务上的表现。</w:t>
      </w:r>
    </w:p>
    <w:p w14:paraId="314C9C0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（15.6）记录模型是否存在识别错误、漏符号、格式不规范或输出不稳定等问题。（截图测评结果）</w:t>
      </w:r>
    </w:p>
    <w:p w14:paraId="3B26D46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（15.7）理解小规模测评意义：本实验主要用于验证训练和部署流程，不能直接代表模型在完整 OCR 任务上的真实能力。</w:t>
      </w:r>
    </w:p>
    <w:p w14:paraId="5081E2D6">
      <w:pPr>
        <w:rPr>
          <w:rFonts w:ascii="宋体" w:hAnsi="宋体"/>
          <w:szCs w:val="21"/>
        </w:rPr>
      </w:pPr>
    </w:p>
    <w:p w14:paraId="489423E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（16）按照实验手册，完成模型上传与发布。</w:t>
      </w:r>
    </w:p>
    <w:p w14:paraId="58E4A0E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（16.1）准备 ModelScope 账号和访问令牌。</w:t>
      </w:r>
    </w:p>
    <w:p w14:paraId="5B561A8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（16.2）确认待上传模型目录，可以选择合并后模型或量化后模型。</w:t>
      </w:r>
    </w:p>
    <w:p w14:paraId="0FBE845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（16.3）使用 ms-swift 或 ModelScope SDK 将模型上传到指定仓库。</w:t>
      </w:r>
    </w:p>
    <w:p w14:paraId="6F78C03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（16.4）检查上传结果，确认模型文件、配置文件和说明文件已经成功同步。（截图 ModelScope 模型仓库页面）</w:t>
      </w:r>
    </w:p>
    <w:p w14:paraId="3B2295E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（16.5）理解模型发布意义：模型从本地实验产物变成可以复用、部署和分享的模型资产。材料总结中也强调，完成部署、测评和上传后，模型不再只是本地实验结果，而是可复用的完整模型资产。</w:t>
      </w:r>
    </w:p>
    <w:p w14:paraId="1D9FD0E2">
      <w:pPr>
        <w:rPr>
          <w:rFonts w:ascii="宋体" w:hAnsi="宋体"/>
          <w:szCs w:val="21"/>
        </w:rPr>
      </w:pPr>
    </w:p>
    <w:p w14:paraId="499772F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（17）按照实验手册，完成实验结果分析与总结。</w:t>
      </w:r>
    </w:p>
    <w:p w14:paraId="77AC235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（17.1）总结 VLM 与文本大模型在输入格式、显存占用、训练数据和部署参数上的区别。</w:t>
      </w:r>
    </w:p>
    <w:p w14:paraId="324E65B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（17.2）总结 Qwen3-VL 模型调用流程，包括图片推理、视频推理和命令行推理。</w:t>
      </w:r>
    </w:p>
    <w:p w14:paraId="4BD4257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（17.3）总结 ms-swift 在视觉大模型工程流程中的作用：统一承接模型调用、数据准备、微调、导出、部署、测评和上传。</w:t>
      </w:r>
    </w:p>
    <w:p w14:paraId="079CD0A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（17.4）总结自定义 LaTeX OCR 数据集构建流程，包括字段检查、图片保存、JSONL 转换和训练/验证集划分。</w:t>
      </w:r>
    </w:p>
    <w:p w14:paraId="39DE383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（17.5）总结 LoRA 微调效果：观察模型在手写公式识别任务上是否比原始模型更稳定。</w:t>
      </w:r>
    </w:p>
    <w:p w14:paraId="1A5C92A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（17.6）总结 adapter 推理、模型合并和 FP8 量化之间的关系。</w:t>
      </w:r>
    </w:p>
    <w:p w14:paraId="7959F59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（17.7）总结 vLLM 部署和 OpenAI 兼容接口调用流程，说明模型如何从本地权重变成可被程序调用的服务。</w:t>
      </w:r>
    </w:p>
    <w:p w14:paraId="41CB17F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（17.8）总结测评与上传结果，说明模型是否完成从训练产物到可复用模型资产的转化。</w:t>
      </w:r>
    </w:p>
    <w:p w14:paraId="01CA243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（17.9）分析实验中可能存在的问题，例如显存不足、图片路径错误、数据格式不匹配、视频 token 过多、量化兼容性不足、部署参数设置过大等。</w:t>
      </w:r>
    </w:p>
    <w:p w14:paraId="508D5046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（17.10）总结本章核心认识：视觉大模型调优与部署不是单独的“看图问答”实验，而是一条包含模型选择、环境配置、数据构建、LoRA 微调、量化部署、接口调用、效果评估和模型发布的完整工程链路。</w:t>
      </w:r>
    </w:p>
    <w:bookmarkEnd w:id="2"/>
    <w:p w14:paraId="5CC8100D">
      <w:pPr>
        <w:rPr>
          <w:rFonts w:hint="eastAsia" w:ascii="宋体" w:hAnsi="宋体"/>
          <w:szCs w:val="21"/>
        </w:rPr>
      </w:pPr>
    </w:p>
    <w:p w14:paraId="4F59612B">
      <w:pPr>
        <w:rPr>
          <w:rFonts w:hint="eastAsia" w:ascii="宋体" w:hAnsi="宋体"/>
          <w:szCs w:val="21"/>
        </w:rPr>
      </w:pPr>
    </w:p>
    <w:p w14:paraId="30B29FAA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2A7CB05C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3A34936B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3A5C88A7">
      <w:pPr>
        <w:rPr>
          <w:rFonts w:hint="eastAsia" w:ascii="宋体" w:hAnsi="宋体"/>
          <w:szCs w:val="21"/>
        </w:rPr>
      </w:pPr>
    </w:p>
    <w:p w14:paraId="02F56492">
      <w:pPr>
        <w:rPr>
          <w:rFonts w:hint="eastAsia" w:ascii="宋体" w:hAnsi="宋体"/>
          <w:szCs w:val="21"/>
        </w:rPr>
      </w:pPr>
    </w:p>
    <w:p w14:paraId="3BB0F02E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八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0CF616F9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06AAA"/>
    <w:multiLevelType w:val="multilevel"/>
    <w:tmpl w:val="30C06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C0A1D"/>
    <w:rsid w:val="000C7C8B"/>
    <w:rsid w:val="000D0B56"/>
    <w:rsid w:val="000D1CCA"/>
    <w:rsid w:val="000F7EC6"/>
    <w:rsid w:val="00114545"/>
    <w:rsid w:val="00167F38"/>
    <w:rsid w:val="001B56D6"/>
    <w:rsid w:val="001E70EE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40F66"/>
    <w:rsid w:val="003728C9"/>
    <w:rsid w:val="003F02F8"/>
    <w:rsid w:val="004170E6"/>
    <w:rsid w:val="00495371"/>
    <w:rsid w:val="004A2E52"/>
    <w:rsid w:val="004E3683"/>
    <w:rsid w:val="00521C08"/>
    <w:rsid w:val="005B233D"/>
    <w:rsid w:val="005B39D6"/>
    <w:rsid w:val="005B49F3"/>
    <w:rsid w:val="005D4BDF"/>
    <w:rsid w:val="005E4B36"/>
    <w:rsid w:val="005F121A"/>
    <w:rsid w:val="00603E0E"/>
    <w:rsid w:val="0061407F"/>
    <w:rsid w:val="00642E07"/>
    <w:rsid w:val="006479AF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C5549"/>
    <w:rsid w:val="00804BAE"/>
    <w:rsid w:val="00805699"/>
    <w:rsid w:val="008501CF"/>
    <w:rsid w:val="00860ECA"/>
    <w:rsid w:val="00892686"/>
    <w:rsid w:val="008B0736"/>
    <w:rsid w:val="008D2564"/>
    <w:rsid w:val="008D3126"/>
    <w:rsid w:val="009138B8"/>
    <w:rsid w:val="00963CDE"/>
    <w:rsid w:val="009A4415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3186"/>
    <w:rsid w:val="00B25184"/>
    <w:rsid w:val="00B4494A"/>
    <w:rsid w:val="00BA248A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17DB3"/>
    <w:rsid w:val="00D66BCB"/>
    <w:rsid w:val="00D72704"/>
    <w:rsid w:val="00D75A36"/>
    <w:rsid w:val="00DA0C9F"/>
    <w:rsid w:val="00DC1719"/>
    <w:rsid w:val="00DD6B5D"/>
    <w:rsid w:val="00E41A9C"/>
    <w:rsid w:val="00E43913"/>
    <w:rsid w:val="00E44AFE"/>
    <w:rsid w:val="00E50308"/>
    <w:rsid w:val="00E835C4"/>
    <w:rsid w:val="00EA401D"/>
    <w:rsid w:val="00EC4DF9"/>
    <w:rsid w:val="00ED2B10"/>
    <w:rsid w:val="00EE0E2E"/>
    <w:rsid w:val="00F03D79"/>
    <w:rsid w:val="00F25B66"/>
    <w:rsid w:val="00F4305A"/>
    <w:rsid w:val="00F50236"/>
    <w:rsid w:val="00FA2E83"/>
    <w:rsid w:val="00FB1DE0"/>
    <w:rsid w:val="00FC3DCC"/>
    <w:rsid w:val="00FF1FB7"/>
    <w:rsid w:val="00FF3D2D"/>
    <w:rsid w:val="0132323E"/>
    <w:rsid w:val="074569EA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C825C08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09E6C17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4678</Words>
  <Characters>6267</Characters>
  <Lines>50</Lines>
  <Paragraphs>14</Paragraphs>
  <TotalTime>193</TotalTime>
  <ScaleCrop>false</ScaleCrop>
  <LinksUpToDate>false</LinksUpToDate>
  <CharactersWithSpaces>6997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2026-08-13T05:19:31Z</dcterms:modified>
  <dc:title>实验报告模板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eyJoZGlkIjoiYjJkMzhjNTY3NzA0OWE0NTZlZjFlYWRiNDdlY2NmMDkiLCJ1c2VySWQiOiI2MjU4MDMyMzkifQ==</vt:lpwstr>
  </property>
  <property fmtid="{D5CDD505-2E9C-101B-9397-08002B2CF9AE}" pid="4" name="ICV">
    <vt:lpwstr>5B594519ACE1437C847887F8D1B1AD2F_13</vt:lpwstr>
  </property>
</Properties>
</file>