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6fb7553e44a17a2aa4f8b3e832cf0714b26e2db"/>
    <w:p>
      <w:pPr>
        <w:pStyle w:val="Heading1"/>
      </w:pPr>
      <w:r>
        <w:t xml:space="preserve">นโยบายการรักษาความปลอดภัยระบบเทคโนโลยีสารสนเทศ</w:t>
      </w:r>
    </w:p>
    <w:bookmarkStart w:id="20" w:name="information-technology-security-policy"/>
    <w:p>
      <w:pPr>
        <w:pStyle w:val="Heading2"/>
      </w:pPr>
      <w:r>
        <w:t xml:space="preserve">Information Technology Security Policy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ผู้จัดทำ / ผู้ตรวจสอบ / 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[Prepared] / [Reviewed] / [Approved]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ฝ่ายเทคโนโลยีสารสนเทศ /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 — Controlled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มาตรฐานอ้างอิงการควบคุมเอกสาร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ข้อ 7.5 / STD-QMS-001</w:t>
            </w:r>
          </w:p>
        </w:tc>
      </w:tr>
    </w:tbl>
    <w:p>
      <w:pPr>
        <w:pStyle w:val="BlockText"/>
      </w:pPr>
      <w:r>
        <w:t xml:space="preserve">CONTROLLED DOCUMENT — Uncontrolled when printed</w:t>
      </w:r>
    </w:p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นโยบายฉบับนี้จัดทำขึ้นเพื่อ</w:t>
      </w:r>
    </w:p>
    <w:p>
      <w:pPr>
        <w:numPr>
          <w:ilvl w:val="0"/>
          <w:numId w:val="1001"/>
        </w:numPr>
        <w:pStyle w:val="Compact"/>
      </w:pPr>
      <w:r>
        <w:t xml:space="preserve">กำหนดกรอบและแนวทางในการรักษาความมั่นคงปลอดภัยของระบบเทคโนโลยีสารสนเทศและข้อมูลขององค์กร</w:t>
      </w:r>
    </w:p>
    <w:p>
      <w:pPr>
        <w:numPr>
          <w:ilvl w:val="0"/>
          <w:numId w:val="1001"/>
        </w:numPr>
        <w:pStyle w:val="Compact"/>
      </w:pPr>
      <w:r>
        <w:t xml:space="preserve">ปกป้องความลับ (Confidentiality) ความถูกต้องครบถ้วน (Integrity) และความพร้อมใช้งาน (Availability) ของข้อมูลและระบบ</w:t>
      </w:r>
    </w:p>
    <w:p>
      <w:pPr>
        <w:numPr>
          <w:ilvl w:val="0"/>
          <w:numId w:val="1001"/>
        </w:numPr>
        <w:pStyle w:val="Compact"/>
      </w:pPr>
      <w:r>
        <w:t xml:space="preserve">ลดความเสี่ยงจากภัยคุกคามทางไซเบอร์ การเข้าถึงโดยไม่ได้รับอนุญาต การรั่วไหล และการสูญหายของข้อมูล</w:t>
      </w:r>
    </w:p>
    <w:p>
      <w:pPr>
        <w:numPr>
          <w:ilvl w:val="0"/>
          <w:numId w:val="1001"/>
        </w:numPr>
        <w:pStyle w:val="Compact"/>
      </w:pPr>
      <w:r>
        <w:t xml:space="preserve">สร้างความตระหนักและกำหนดหน้าที่ความรับผิดชอบของผู้มีส่วนเกี่ยวข้องทุกระดับ</w:t>
      </w:r>
    </w:p>
    <w:p>
      <w:pPr>
        <w:numPr>
          <w:ilvl w:val="0"/>
          <w:numId w:val="1001"/>
        </w:numPr>
        <w:pStyle w:val="Compact"/>
      </w:pPr>
      <w:r>
        <w:t xml:space="preserve">ให้สอดคล้องกับกฎหมายและมาตรฐานที่เกี่ยวข้อง ได้แก่</w:t>
      </w:r>
    </w:p>
    <w:p>
      <w:pPr>
        <w:numPr>
          <w:ilvl w:val="1"/>
          <w:numId w:val="1002"/>
        </w:numPr>
        <w:pStyle w:val="Compact"/>
      </w:pPr>
      <w:r>
        <w:t xml:space="preserve">พระราชบัญญัติคุ้มครองข้อมูลส่วนบุคคล พ.ศ. 2562 (PDPA)</w:t>
      </w:r>
    </w:p>
    <w:p>
      <w:pPr>
        <w:numPr>
          <w:ilvl w:val="1"/>
          <w:numId w:val="1002"/>
        </w:numPr>
        <w:pStyle w:val="Compact"/>
      </w:pPr>
      <w:r>
        <w:t xml:space="preserve">พระราชบัญญัติการรักษาความมั่นคงปลอดภัยไซเบอร์ พ.ศ. 2562</w:t>
      </w:r>
    </w:p>
    <w:p>
      <w:pPr>
        <w:numPr>
          <w:ilvl w:val="1"/>
          <w:numId w:val="1002"/>
        </w:numPr>
        <w:pStyle w:val="Compact"/>
      </w:pPr>
      <w:r>
        <w:t xml:space="preserve">หลักการตามมาตรฐาน ISO/IEC 27001:2022 (ตามที่องค์กรนำไปปรับใช้)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นโยบายนี้ใช้บังคับกับ</w:t>
      </w:r>
    </w:p>
    <w:p>
      <w:pPr>
        <w:numPr>
          <w:ilvl w:val="0"/>
          <w:numId w:val="1003"/>
        </w:numPr>
        <w:pStyle w:val="Compact"/>
      </w:pPr>
      <w:r>
        <w:t xml:space="preserve">พนักงาน ลูกจ้าง ที่ปรึกษา ผู้รับเหมา นักศึกษาฝึกงาน และบุคคลภายนอกที่ได้รับสิทธิเข้าใช้งานระบบขององค์กร</w:t>
      </w:r>
    </w:p>
    <w:p>
      <w:pPr>
        <w:numPr>
          <w:ilvl w:val="0"/>
          <w:numId w:val="1003"/>
        </w:numPr>
        <w:pStyle w:val="Compact"/>
      </w:pPr>
      <w:r>
        <w:t xml:space="preserve">ระบบคอมพิวเตอร์ เครือข่าย คลาวด์ แอปพลิเคชัน อุปกรณ์ปลายทาง อุปกรณ์เครือข่าย และสื่อจัดเก็บข้อมูลทั้งหมดที่เป็นขององค์กรหรือใช้เพื่อภารกิจขององค์กร</w:t>
      </w:r>
    </w:p>
    <w:p>
      <w:pPr>
        <w:numPr>
          <w:ilvl w:val="0"/>
          <w:numId w:val="1003"/>
        </w:numPr>
        <w:pStyle w:val="Compact"/>
      </w:pPr>
      <w:r>
        <w:t xml:space="preserve">ข้อมูลทุกประเภทที่องค์กรเป็นเจ้าของ ครอบครอง ประมวลผล หรือดูแล รวมถึงข้อมูลส่วนบุคคล ข้อมูลธุรกิจ และข้อมูลความลับทางการค้า</w:t>
      </w:r>
    </w:p>
    <w:p>
      <w:pPr>
        <w:numPr>
          <w:ilvl w:val="0"/>
          <w:numId w:val="1003"/>
        </w:numPr>
        <w:pStyle w:val="Compact"/>
      </w:pPr>
      <w:r>
        <w:t xml:space="preserve">การทำงานทั้งในสถานที่ทำงาน ระยะไกล (remote) และนอกสถานที่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สารสนเทศ / 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ข้อเท็จจริง ตัวเลข ข้อความ ภาพ เสียง หรือข้อมูลอิเล็กทรอนิกส์ใด ๆ ที่องค์กรจัดเก็บหรือประมวลผล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ระบบสารสนเทศ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ฮาร์ดแวร์ ซอฟต์แวร์ เครือข่าย ฐานข้อมูล และบริการที่เกี่ยวข้องที่ใช้ประมวลผลข้อมูล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บุคคลที่ได้รับสิทธิเข้าใช้งานระบบสารสนเทศขององค์กร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เหตุการณ์ด้านความปลอดภัย (Security Incident)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เหตุการณ์ที่ส่งผลกระทบหรืออาจส่งผลกระทบต่อความมั่นคงปลอดภัยของข้อมูลหรือระบบ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ข้อมูลเกี่ยวกับบุคคลซึ่งทำให้สามารถระบุตัวบุคคลนั้นได้ตามนิยามใน พ.ร.บ.คุ้มครองข้อมูลส่วนบุคคล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สิทธิพิเศษ (Privileged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สิทธิระดับผู้ดูแลระบบหรือสิทธิที่สูงกว่าผู้ใช้งานทั่วไป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หลกการความมนคงปลอดภยสารสนเทศ"/>
    <w:p>
      <w:pPr>
        <w:pStyle w:val="Heading2"/>
      </w:pPr>
      <w:r>
        <w:t xml:space="preserve">4. หลักการความมั่นคงปลอดภัยสารสนเทศ</w:t>
      </w:r>
    </w:p>
    <w:p>
      <w:pPr>
        <w:pStyle w:val="FirstParagraph"/>
      </w:pPr>
      <w:r>
        <w:t xml:space="preserve">องค์กรยึดหลัก</w:t>
      </w:r>
      <w:r>
        <w:t xml:space="preserve"> </w:t>
      </w:r>
      <w:r>
        <w:rPr>
          <w:bCs/>
          <w:b/>
        </w:rPr>
        <w:t xml:space="preserve">CIA Triad</w:t>
      </w:r>
      <w:r>
        <w:t xml:space="preserve"> </w:t>
      </w:r>
      <w:r>
        <w:t xml:space="preserve">ดังนี้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Confidentiality (ความลับ)</w:t>
      </w:r>
      <w:r>
        <w:t xml:space="preserve"> </w:t>
      </w:r>
      <w:r>
        <w:t xml:space="preserve">— เข้าถึงข้อมูลได้เฉพาะผู้มีสิทธิและมีเหตุอันควร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Integrity (ความถูกต้องครบถ้วน)</w:t>
      </w:r>
      <w:r>
        <w:t xml:space="preserve"> </w:t>
      </w:r>
      <w:r>
        <w:t xml:space="preserve">— ป้องกันการแก้ไข ทำลาย หรือปลอมแปลงข้อมูลโดยไม่ได้รับอนุญาต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Availability (ความพร้อมใช้งาน)</w:t>
      </w:r>
      <w:r>
        <w:t xml:space="preserve"> </w:t>
      </w:r>
      <w:r>
        <w:t xml:space="preserve">— ระบบและข้อมูลพร้อมใช้งานเมื่อมีความจำเป็นทางธุรกิจ</w:t>
      </w:r>
    </w:p>
    <w:p>
      <w:pPr>
        <w:pStyle w:val="FirstParagraph"/>
      </w:pPr>
      <w:r>
        <w:t xml:space="preserve">รวมถึงหลักการเพิ่มเติม ได้แก่ การพิสูจน์ตัวตน (Authentication) การให้อนุญาต (Authorization) การบันทึกตรวจสอบ (Accountability / Audit) และการไม่ปฏิเสธความรับผิด (Non-repudiation)</w:t>
      </w:r>
    </w:p>
    <w:p>
      <w:r>
        <w:pict>
          <v:rect style="width:0;height:1.5pt" o:hralign="center" o:hrstd="t" o:hr="t"/>
        </w:pict>
      </w:r>
    </w:p>
    <w:bookmarkEnd w:id="24"/>
    <w:bookmarkStart w:id="32" w:name="บทบาทและหนาทความรบผดชอบ"/>
    <w:p>
      <w:pPr>
        <w:pStyle w:val="Heading2"/>
      </w:pPr>
      <w:r>
        <w:t xml:space="preserve">5. บทบาทและหน้าที่ความรับผิดชอบ</w:t>
      </w:r>
    </w:p>
    <w:bookmarkStart w:id="25" w:name="ผบรหารสงสด-คณะกรรมการ"/>
    <w:p>
      <w:pPr>
        <w:pStyle w:val="Heading3"/>
      </w:pPr>
      <w:r>
        <w:t xml:space="preserve">5.1 ผู้บริหารสูงสุด / คณะกรรมการ</w:t>
      </w:r>
    </w:p>
    <w:p>
      <w:pPr>
        <w:numPr>
          <w:ilvl w:val="0"/>
          <w:numId w:val="1005"/>
        </w:numPr>
        <w:pStyle w:val="Compact"/>
      </w:pPr>
      <w:r>
        <w:t xml:space="preserve">อนุมัติและสนับสนุนนโยบาย รวมถึงจัดสรรงบประมาณและทรัพยากร</w:t>
      </w:r>
    </w:p>
    <w:p>
      <w:pPr>
        <w:numPr>
          <w:ilvl w:val="0"/>
          <w:numId w:val="1005"/>
        </w:numPr>
        <w:pStyle w:val="Compact"/>
      </w:pPr>
      <w:r>
        <w:t xml:space="preserve">กำกับดูแลความเสี่ยงด้านไซเบอร์ในระดับองค์กร</w:t>
      </w:r>
    </w:p>
    <w:bookmarkEnd w:id="25"/>
    <w:bookmarkStart w:id="26" w:name="ผบรหารฝายเทคโนโลยสารสนเทศ-cio-it-manager"/>
    <w:p>
      <w:pPr>
        <w:pStyle w:val="Heading3"/>
      </w:pPr>
      <w:r>
        <w:t xml:space="preserve">5.2 ผู้บริหารฝ่ายเทคโนโลยีสารสนเทศ (CIO / IT Manager)</w:t>
      </w:r>
    </w:p>
    <w:p>
      <w:pPr>
        <w:numPr>
          <w:ilvl w:val="0"/>
          <w:numId w:val="1006"/>
        </w:numPr>
        <w:pStyle w:val="Compact"/>
      </w:pPr>
      <w:r>
        <w:t xml:space="preserve">นำนโยบายไปปฏิบัติ กำหนดมาตรฐานและแนวปฏิบัติที่เกี่ยวข้อง</w:t>
      </w:r>
    </w:p>
    <w:p>
      <w:pPr>
        <w:numPr>
          <w:ilvl w:val="0"/>
          <w:numId w:val="1006"/>
        </w:numPr>
        <w:pStyle w:val="Compact"/>
      </w:pPr>
      <w:r>
        <w:t xml:space="preserve">รายงานสถานะความเสี่ยงและเหตุการณ์สำคัญต่อผู้บริหาร</w:t>
      </w:r>
    </w:p>
    <w:bookmarkEnd w:id="26"/>
    <w:bookmarkStart w:id="27" w:name="เจาหนาทความมนคงปลอดภยสารสนเทศ-iso-ciso"/>
    <w:p>
      <w:pPr>
        <w:pStyle w:val="Heading3"/>
      </w:pPr>
      <w:r>
        <w:t xml:space="preserve">5.3 เจ้าหน้าที่ความมั่นคงปลอดภัยสารสนเทศ (ISO / CISO)</w:t>
      </w:r>
    </w:p>
    <w:p>
      <w:pPr>
        <w:numPr>
          <w:ilvl w:val="0"/>
          <w:numId w:val="1007"/>
        </w:numPr>
        <w:pStyle w:val="Compact"/>
      </w:pPr>
      <w:r>
        <w:t xml:space="preserve">วางแผน ติดตาม และปรับปรุงมาตรการความปลอดภัย</w:t>
      </w:r>
    </w:p>
    <w:p>
      <w:pPr>
        <w:numPr>
          <w:ilvl w:val="0"/>
          <w:numId w:val="1007"/>
        </w:numPr>
        <w:pStyle w:val="Compact"/>
      </w:pPr>
      <w:r>
        <w:t xml:space="preserve">ประสานงานการจัดการเหตุการณ์ การประเมินความเสี่ยง และการอบรม</w:t>
      </w:r>
    </w:p>
    <w:p>
      <w:pPr>
        <w:numPr>
          <w:ilvl w:val="0"/>
          <w:numId w:val="1007"/>
        </w:numPr>
        <w:pStyle w:val="Compact"/>
      </w:pPr>
      <w:r>
        <w:t xml:space="preserve">ทบทวนนโยบายและเอกสารที่เกี่ยวข้องเป็นระยะ</w:t>
      </w:r>
    </w:p>
    <w:bookmarkEnd w:id="27"/>
    <w:bookmarkStart w:id="28" w:name="เจาหนาทคมครองขอมลสวนบคคล-dpo-ถาม"/>
    <w:p>
      <w:pPr>
        <w:pStyle w:val="Heading3"/>
      </w:pPr>
      <w:r>
        <w:t xml:space="preserve">5.4 เจ้าหน้าที่คุ้มครองข้อมูลส่วนบุคคล (DPO)</w:t>
      </w:r>
      <w:r>
        <w:t xml:space="preserve"> </w:t>
      </w:r>
      <w:r>
        <w:rPr>
          <w:iCs/>
          <w:i/>
        </w:rPr>
        <w:t xml:space="preserve">(ถ้ามี)</w:t>
      </w:r>
    </w:p>
    <w:p>
      <w:pPr>
        <w:numPr>
          <w:ilvl w:val="0"/>
          <w:numId w:val="1008"/>
        </w:numPr>
        <w:pStyle w:val="Compact"/>
      </w:pPr>
      <w:r>
        <w:t xml:space="preserve">ให้คำปรึกษาด้านการคุ้มครองข้อมูลส่วนบุคคลตาม PDPA</w:t>
      </w:r>
    </w:p>
    <w:p>
      <w:pPr>
        <w:numPr>
          <w:ilvl w:val="0"/>
          <w:numId w:val="1008"/>
        </w:numPr>
        <w:pStyle w:val="Compact"/>
      </w:pPr>
      <w:r>
        <w:t xml:space="preserve">ประสานงานกรณีเกิดเหตุละเมิดข้อมูลส่วนบุคคล</w:t>
      </w:r>
    </w:p>
    <w:bookmarkEnd w:id="28"/>
    <w:bookmarkStart w:id="29" w:name="ผดแลระบบ-system-administrators"/>
    <w:p>
      <w:pPr>
        <w:pStyle w:val="Heading3"/>
      </w:pPr>
      <w:r>
        <w:t xml:space="preserve">5.5 ผู้ดูแลระบบ (System Administrators)</w:t>
      </w:r>
    </w:p>
    <w:p>
      <w:pPr>
        <w:numPr>
          <w:ilvl w:val="0"/>
          <w:numId w:val="1009"/>
        </w:numPr>
        <w:pStyle w:val="Compact"/>
      </w:pPr>
      <w:r>
        <w:t xml:space="preserve">ติดตั้ง กำหนดค่า และดูแลระบบตามมาตรฐานความปลอดภัย</w:t>
      </w:r>
    </w:p>
    <w:p>
      <w:pPr>
        <w:numPr>
          <w:ilvl w:val="0"/>
          <w:numId w:val="1009"/>
        </w:numPr>
        <w:pStyle w:val="Compact"/>
      </w:pPr>
      <w:r>
        <w:t xml:space="preserve">จัดการสิทธิ์ผู้ใช้ บันทึก log และสำรองข้อมูลตามที่กำหนด</w:t>
      </w:r>
    </w:p>
    <w:bookmarkEnd w:id="29"/>
    <w:bookmarkStart w:id="30" w:name="ผใชงานทกคน"/>
    <w:p>
      <w:pPr>
        <w:pStyle w:val="Heading3"/>
      </w:pPr>
      <w:r>
        <w:t xml:space="preserve">5.6 ผู้ใช้งานทุกคน</w:t>
      </w:r>
    </w:p>
    <w:p>
      <w:pPr>
        <w:numPr>
          <w:ilvl w:val="0"/>
          <w:numId w:val="1010"/>
        </w:numPr>
        <w:pStyle w:val="Compact"/>
      </w:pPr>
      <w:r>
        <w:t xml:space="preserve">ปฏิบัติตามนโยบาย แนวปฏิบัติ และข้อกำหนดด้านความปลอดภัย</w:t>
      </w:r>
    </w:p>
    <w:p>
      <w:pPr>
        <w:numPr>
          <w:ilvl w:val="0"/>
          <w:numId w:val="1010"/>
        </w:numPr>
        <w:pStyle w:val="Compact"/>
      </w:pPr>
      <w:r>
        <w:t xml:space="preserve">รายงานเหตุการณ์หรือพฤติกรรมที่น่าสงสัยโดยเร็ว</w:t>
      </w:r>
    </w:p>
    <w:p>
      <w:pPr>
        <w:numPr>
          <w:ilvl w:val="0"/>
          <w:numId w:val="1010"/>
        </w:numPr>
        <w:pStyle w:val="Compact"/>
      </w:pPr>
      <w:r>
        <w:t xml:space="preserve">รักษาความลับของบัญชีผู้ใช้ รหัสผ่าน และข้อมูลที่เข้าถึงได้</w:t>
      </w:r>
    </w:p>
    <w:bookmarkEnd w:id="30"/>
    <w:bookmarkStart w:id="31" w:name="ผใหบรการภายนอก-พนธมตร"/>
    <w:p>
      <w:pPr>
        <w:pStyle w:val="Heading3"/>
      </w:pPr>
      <w:r>
        <w:t xml:space="preserve">5.7 ผู้ให้บริการภายนอก / พันธมิตร</w:t>
      </w:r>
    </w:p>
    <w:p>
      <w:pPr>
        <w:numPr>
          <w:ilvl w:val="0"/>
          <w:numId w:val="1011"/>
        </w:numPr>
        <w:pStyle w:val="Compact"/>
      </w:pPr>
      <w:r>
        <w:t xml:space="preserve">ปฏิบัติตามข้อกำหนดความปลอดภัยในสัญญาและข้อตกลงการประมวลผลข้อมูล</w:t>
      </w:r>
    </w:p>
    <w:p>
      <w:pPr>
        <w:numPr>
          <w:ilvl w:val="0"/>
          <w:numId w:val="1011"/>
        </w:numPr>
        <w:pStyle w:val="Compact"/>
      </w:pPr>
      <w:r>
        <w:t xml:space="preserve">ไม่เข้าถึงหรือใช้ข้อมูลเกินขอบเขตที่ได้รับอนุญาต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9" w:name="นโยบายยอยและมาตรการควบคม"/>
    <w:p>
      <w:pPr>
        <w:pStyle w:val="Heading2"/>
      </w:pPr>
      <w:r>
        <w:t xml:space="preserve">6. นโยบายย่อยและมาตรการควบคุม</w:t>
      </w:r>
    </w:p>
    <w:bookmarkStart w:id="33" w:name="X40ee4c9af581bf24d5ed752919c2bd80435af67"/>
    <w:p>
      <w:pPr>
        <w:pStyle w:val="Heading3"/>
      </w:pPr>
      <w:r>
        <w:t xml:space="preserve">6.1 การจัดประเภทและการจัดการข้อมูล (Data Classification &amp; Handling)</w:t>
      </w:r>
    </w:p>
    <w:p>
      <w:pPr>
        <w:pStyle w:val="FirstParagraph"/>
      </w:pPr>
      <w:r>
        <w:t xml:space="preserve">ข้อมูลต้องได้รับการจัดประเภทอย่างน้อยดังนี้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20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แนวทางปฏิบัติหลัก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ลับที่สุด (Restricted)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ข้อมูลส่วนบุคคลอ่อนไหว ข้อมูลการเงินสำคัญ คีย์เข้ารหัส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จำกัดสิทธิ์สูงสุด เข้ารหัสทั้งขณะจัดเก็บและส่งผ่าน มีบันทึกการเข้าถึง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ลับ (Confidential)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ข้อมูลธุรกิจภายใน เอกสารสัญญา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เข้าถึงตาม Need-to-know ห้ามส่งออกโดยไม่ได้รับอนุญาต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ภายใน (Internal)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คู่มือภายใน ประกาศองค์กร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ใช้ภายในองค์กรเท่านั้น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สาธารณะ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ข้อมูลเผยแพร่ทั่วไป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ตรวจสอบความถูกต้องก่อนเผยแพร่</w:t>
            </w:r>
          </w:p>
        </w:tc>
      </w:tr>
    </w:tbl>
    <w:p>
      <w:pPr>
        <w:pStyle w:val="BodyText"/>
      </w:pPr>
      <w:r>
        <w:t xml:space="preserve">ผู้ใช้งานต้องไม่เปิดเผย คัดลอก หรือส่งต่อข้อมูลในระดับลับ/ลับที่สุดโดยไม่มีอำนาจหรือช่องทางที่ได้รับอนุญาต</w:t>
      </w:r>
    </w:p>
    <w:bookmarkEnd w:id="33"/>
    <w:bookmarkStart w:id="34" w:name="การควบคมการเขาถง-access-control"/>
    <w:p>
      <w:pPr>
        <w:pStyle w:val="Heading3"/>
      </w:pPr>
      <w:r>
        <w:t xml:space="preserve">6.2 การควบคุมการเข้าถึง (Access Control)</w:t>
      </w:r>
    </w:p>
    <w:p>
      <w:pPr>
        <w:numPr>
          <w:ilvl w:val="0"/>
          <w:numId w:val="1012"/>
        </w:numPr>
        <w:pStyle w:val="Compact"/>
      </w:pPr>
      <w:r>
        <w:t xml:space="preserve">ให้สิทธิ์ตามหลัก</w:t>
      </w:r>
      <w:r>
        <w:t xml:space="preserve"> </w:t>
      </w:r>
      <w:r>
        <w:rPr>
          <w:bCs/>
          <w:b/>
        </w:rPr>
        <w:t xml:space="preserve">Least Privilege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Need-to-Know</w:t>
      </w:r>
    </w:p>
    <w:p>
      <w:pPr>
        <w:numPr>
          <w:ilvl w:val="0"/>
          <w:numId w:val="1012"/>
        </w:numPr>
        <w:pStyle w:val="Compact"/>
      </w:pPr>
      <w:r>
        <w:t xml:space="preserve">บัญชีผู้ใช้ต้องเป็นรายบุคคล ห้ามใช้บัญชีร่วมกัน (ยกเว้นกรณีที่ได้รับอนุมัติและมีการควบคุมเพิ่มเติม)</w:t>
      </w:r>
    </w:p>
    <w:p>
      <w:pPr>
        <w:numPr>
          <w:ilvl w:val="0"/>
          <w:numId w:val="1012"/>
        </w:numPr>
        <w:pStyle w:val="Compact"/>
      </w:pPr>
      <w:r>
        <w:t xml:space="preserve">ต้องมีการพิสูจน์ตัวตนที่รัดกุม เช่น รหัสผ่านที่แข็งแรง และ</w:t>
      </w:r>
      <w:r>
        <w:t xml:space="preserve"> </w:t>
      </w:r>
      <w:r>
        <w:rPr>
          <w:bCs/>
          <w:b/>
        </w:rPr>
        <w:t xml:space="preserve">Multi-Factor Authentication (MFA)</w:t>
      </w:r>
      <w:r>
        <w:t xml:space="preserve"> </w:t>
      </w:r>
      <w:r>
        <w:t xml:space="preserve">สำหรับระบบสำคัญ การเข้าถึงระยะไกล และบัญชีสิทธิพิเศษ</w:t>
      </w:r>
    </w:p>
    <w:p>
      <w:pPr>
        <w:numPr>
          <w:ilvl w:val="0"/>
          <w:numId w:val="1012"/>
        </w:numPr>
        <w:pStyle w:val="Compact"/>
      </w:pPr>
      <w:r>
        <w:t xml:space="preserve">ทบทวนสิทธิ์ผู้ใช้เป็นระยะ และเพิกถอนสิทธิ์ทันทีเมื่อพ้นสภาพ พ้นหน้าที่ หรือเปลี่ยนบทบาท</w:t>
      </w:r>
    </w:p>
    <w:p>
      <w:pPr>
        <w:numPr>
          <w:ilvl w:val="0"/>
          <w:numId w:val="1012"/>
        </w:numPr>
        <w:pStyle w:val="Compact"/>
      </w:pPr>
      <w:r>
        <w:t xml:space="preserve">บัญชีสิทธิพิเศษต้องมีการควบคุมเข้มงวด มีการบันทึกการใช้งาน และแยกจากบัญชีใช้งานประจำวัน</w:t>
      </w:r>
    </w:p>
    <w:bookmarkEnd w:id="34"/>
    <w:bookmarkStart w:id="35" w:name="การจดการรหสผานและขอมลรบรอง-credentials"/>
    <w:p>
      <w:pPr>
        <w:pStyle w:val="Heading3"/>
      </w:pPr>
      <w:r>
        <w:t xml:space="preserve">6.3 การจัดการรหัสผ่านและข้อมูลรับรอง (Credentials)</w:t>
      </w:r>
    </w:p>
    <w:p>
      <w:pPr>
        <w:numPr>
          <w:ilvl w:val="0"/>
          <w:numId w:val="1013"/>
        </w:numPr>
        <w:pStyle w:val="Compact"/>
      </w:pPr>
      <w:r>
        <w:t xml:space="preserve">รหัสผ่านต้องมีความยาวและความซับซ้อนตามมาตรฐานที่องค์กรกำหนด และห้ามใช้รหัสผ่านซ้ำกับระบบภายนอก</w:t>
      </w:r>
    </w:p>
    <w:p>
      <w:pPr>
        <w:numPr>
          <w:ilvl w:val="0"/>
          <w:numId w:val="1013"/>
        </w:numPr>
        <w:pStyle w:val="Compact"/>
      </w:pPr>
      <w:r>
        <w:t xml:space="preserve">ห้ามแบ่งปันรหัสผ่าน เขียนติดอุปกรณ์ หรือเก็บในที่ที่ไม่ปลอดภัย</w:t>
      </w:r>
    </w:p>
    <w:p>
      <w:pPr>
        <w:numPr>
          <w:ilvl w:val="0"/>
          <w:numId w:val="1013"/>
        </w:numPr>
        <w:pStyle w:val="Compact"/>
      </w:pPr>
      <w:r>
        <w:t xml:space="preserve">หากสงสัยว่ารหัสผ่านรั่วไหล ต้องเปลี่ยนทันทีและแจ้งฝ่าย IT</w:t>
      </w:r>
    </w:p>
    <w:p>
      <w:pPr>
        <w:numPr>
          <w:ilvl w:val="0"/>
          <w:numId w:val="1013"/>
        </w:numPr>
        <w:pStyle w:val="Compact"/>
      </w:pPr>
      <w:r>
        <w:t xml:space="preserve">ห้ามฝังรหัสผ่านหรือ API key ในซอร์สโค้ดแบบเปิดเผย ต้องใช้ระบบจัดการความลับ (secrets management)</w:t>
      </w:r>
    </w:p>
    <w:bookmarkEnd w:id="35"/>
    <w:bookmarkStart w:id="36" w:name="ความปลอดภยของเครอขาย-network-security"/>
    <w:p>
      <w:pPr>
        <w:pStyle w:val="Heading3"/>
      </w:pPr>
      <w:r>
        <w:t xml:space="preserve">6.4 ความปลอดภัยของเครือข่าย (Network Security)</w:t>
      </w:r>
    </w:p>
    <w:p>
      <w:pPr>
        <w:numPr>
          <w:ilvl w:val="0"/>
          <w:numId w:val="1014"/>
        </w:numPr>
        <w:pStyle w:val="Compact"/>
      </w:pPr>
      <w:r>
        <w:t xml:space="preserve">แบ่งแยกเครือข่ายตามความเสี่ยง (segmentation) และจำกัดการเชื่อมต่อระหว่างโซน</w:t>
      </w:r>
    </w:p>
    <w:p>
      <w:pPr>
        <w:numPr>
          <w:ilvl w:val="0"/>
          <w:numId w:val="1014"/>
        </w:numPr>
        <w:pStyle w:val="Compact"/>
      </w:pPr>
      <w:r>
        <w:t xml:space="preserve">ใช้ไฟร์วอลล์ VPN และการเข้ารหัสช่องทางสื่อสารตามความเหมาะสม</w:t>
      </w:r>
    </w:p>
    <w:p>
      <w:pPr>
        <w:numPr>
          <w:ilvl w:val="0"/>
          <w:numId w:val="1014"/>
        </w:numPr>
        <w:pStyle w:val="Compact"/>
      </w:pPr>
      <w:r>
        <w:t xml:space="preserve">ห้ามเชื่อมต่ออุปกรณ์ที่ไม่ได้รับอนุญาตเข้าสู่เครือข่ายองค์กร</w:t>
      </w:r>
    </w:p>
    <w:p>
      <w:pPr>
        <w:numPr>
          <w:ilvl w:val="0"/>
          <w:numId w:val="1014"/>
        </w:numPr>
        <w:pStyle w:val="Compact"/>
      </w:pPr>
      <w:r>
        <w:t xml:space="preserve">ตรวจสอบและปิดพอร์ต/บริการที่ไม่จำเป็น</w:t>
      </w:r>
    </w:p>
    <w:p>
      <w:pPr>
        <w:numPr>
          <w:ilvl w:val="0"/>
          <w:numId w:val="1014"/>
        </w:numPr>
        <w:pStyle w:val="Compact"/>
      </w:pPr>
      <w:r>
        <w:t xml:space="preserve">เฝ้าระวังทราฟฟิกและเหตุผิดปกติอย่างต่อเนื่อง</w:t>
      </w:r>
    </w:p>
    <w:bookmarkEnd w:id="36"/>
    <w:bookmarkStart w:id="37" w:name="Xf7ec2b588f9dbdae4f21b4fa9b66bf5902fc9ff"/>
    <w:p>
      <w:pPr>
        <w:pStyle w:val="Heading3"/>
      </w:pPr>
      <w:r>
        <w:t xml:space="preserve">6.5 ความปลอดภัยของอุปกรณ์ปลายทาง (Endpoint Security)</w:t>
      </w:r>
    </w:p>
    <w:p>
      <w:pPr>
        <w:numPr>
          <w:ilvl w:val="0"/>
          <w:numId w:val="1015"/>
        </w:numPr>
        <w:pStyle w:val="Compact"/>
      </w:pPr>
      <w:r>
        <w:t xml:space="preserve">อุปกรณ์ขององค์กรต้องติดตั้งระบบป้องกันมัลแวร์ อัปเดตระบบปฏิบัติการ และเปิดการเข้ารหัสดิสก์ตามที่กำหนด</w:t>
      </w:r>
    </w:p>
    <w:p>
      <w:pPr>
        <w:numPr>
          <w:ilvl w:val="0"/>
          <w:numId w:val="1015"/>
        </w:numPr>
        <w:pStyle w:val="Compact"/>
      </w:pPr>
      <w:r>
        <w:t xml:space="preserve">ห้ามปิดหรือถอดซอฟต์แวร์รักษาความปลอดภัยโดยไม่ได้รับอนุญาต</w:t>
      </w:r>
    </w:p>
    <w:p>
      <w:pPr>
        <w:numPr>
          <w:ilvl w:val="0"/>
          <w:numId w:val="1015"/>
        </w:numPr>
        <w:pStyle w:val="Compact"/>
      </w:pPr>
      <w:r>
        <w:t xml:space="preserve">การนำอุปกรณ์ส่วนตัวมาใช้ทำงาน (BYOD) ต้องได้รับอนุมัติและปฏิบัติตามข้อกำหนดที่องค์กรกำหนด</w:t>
      </w:r>
    </w:p>
    <w:p>
      <w:pPr>
        <w:numPr>
          <w:ilvl w:val="0"/>
          <w:numId w:val="1015"/>
        </w:numPr>
        <w:pStyle w:val="Compact"/>
      </w:pPr>
      <w:r>
        <w:t xml:space="preserve">ล็อกหน้าจอเมื่อไม่ใช้งาน และตั้งค่าหมดเวลาอัตโนมัติ</w:t>
      </w:r>
    </w:p>
    <w:p>
      <w:pPr>
        <w:numPr>
          <w:ilvl w:val="0"/>
          <w:numId w:val="1015"/>
        </w:numPr>
        <w:pStyle w:val="Compact"/>
      </w:pPr>
      <w:r>
        <w:t xml:space="preserve">เมื่ออุปกรณ์สูญหายหรือถูกขโมย ต้องแจ้งฝ่าย IT ทันทีเพื่อระงับการเข้าถึงและลบข้อมูลระยะไกล (หากทำได้)</w:t>
      </w:r>
    </w:p>
    <w:bookmarkEnd w:id="37"/>
    <w:bookmarkStart w:id="38" w:name="Xf287c87408d04aca7b3705f7328dadddf044d56"/>
    <w:p>
      <w:pPr>
        <w:pStyle w:val="Heading3"/>
      </w:pPr>
      <w:r>
        <w:t xml:space="preserve">6.6 ความปลอดภัยของแอปพลิเคชันและการพัฒนา (Application &amp; Secure Development)</w:t>
      </w:r>
    </w:p>
    <w:p>
      <w:pPr>
        <w:numPr>
          <w:ilvl w:val="0"/>
          <w:numId w:val="1016"/>
        </w:numPr>
        <w:pStyle w:val="Compact"/>
      </w:pPr>
      <w:r>
        <w:t xml:space="preserve">พัฒนาและทดสอบระบบตามแนวทาง Secure SDLC</w:t>
      </w:r>
    </w:p>
    <w:p>
      <w:pPr>
        <w:numPr>
          <w:ilvl w:val="0"/>
          <w:numId w:val="1016"/>
        </w:numPr>
        <w:pStyle w:val="Compact"/>
      </w:pPr>
      <w:r>
        <w:t xml:space="preserve">ตรวจสอบช่องโหว่ก่อนขึ้นใช้งานจริง (เช่น code review, dependency check, security testing ตามระดับความเสี่ยง)</w:t>
      </w:r>
    </w:p>
    <w:p>
      <w:pPr>
        <w:numPr>
          <w:ilvl w:val="0"/>
          <w:numId w:val="1016"/>
        </w:numPr>
        <w:pStyle w:val="Compact"/>
      </w:pPr>
      <w:r>
        <w:t xml:space="preserve">แยกสภาพแวดล้อม Development / Test / Production อย่างชัดเจน</w:t>
      </w:r>
    </w:p>
    <w:p>
      <w:pPr>
        <w:numPr>
          <w:ilvl w:val="0"/>
          <w:numId w:val="1016"/>
        </w:numPr>
        <w:pStyle w:val="Compact"/>
      </w:pPr>
      <w:r>
        <w:t xml:space="preserve">ห้ามใช้ข้อมูลส่วนบุคคลจริงในสภาพแวดล้อมทดสอบโดยไม่มีมาตรการปกป้องที่เหมาะสม (เช่น การทำให้ไม่ระบุตัวตน)</w:t>
      </w:r>
    </w:p>
    <w:p>
      <w:pPr>
        <w:numPr>
          <w:ilvl w:val="0"/>
          <w:numId w:val="1016"/>
        </w:numPr>
        <w:pStyle w:val="Compact"/>
      </w:pPr>
      <w:r>
        <w:t xml:space="preserve">จัดการช่องโหว่และแพตช์ตามระดับความรุนแรงภายในระยะเวลาที่กำหนด</w:t>
      </w:r>
    </w:p>
    <w:bookmarkEnd w:id="38"/>
    <w:bookmarkStart w:id="39" w:name="การเขารหสขอมล-cryptography"/>
    <w:p>
      <w:pPr>
        <w:pStyle w:val="Heading3"/>
      </w:pPr>
      <w:r>
        <w:t xml:space="preserve">6.7 การเข้ารหัสข้อมูล (Cryptography)</w:t>
      </w:r>
    </w:p>
    <w:p>
      <w:pPr>
        <w:numPr>
          <w:ilvl w:val="0"/>
          <w:numId w:val="1017"/>
        </w:numPr>
        <w:pStyle w:val="Compact"/>
      </w:pPr>
      <w:r>
        <w:t xml:space="preserve">ใช้มาตรฐานการเข้ารหัสที่เป็นที่ยอมรับและเป็นปัจจุบัน</w:t>
      </w:r>
    </w:p>
    <w:p>
      <w:pPr>
        <w:numPr>
          <w:ilvl w:val="0"/>
          <w:numId w:val="1017"/>
        </w:numPr>
        <w:pStyle w:val="Compact"/>
      </w:pPr>
      <w:r>
        <w:t xml:space="preserve">เข้ารหัสข้อมูลสำคัญทั้งขณะจัดเก็บ (at rest) และขณะส่งผ่าน (in transit) ตามระดับความเสี่ยง</w:t>
      </w:r>
    </w:p>
    <w:p>
      <w:pPr>
        <w:numPr>
          <w:ilvl w:val="0"/>
          <w:numId w:val="1017"/>
        </w:numPr>
        <w:pStyle w:val="Compact"/>
      </w:pPr>
      <w:r>
        <w:t xml:space="preserve">บริหารจัดการกุญแจเข้ารหัสอย่างปลอดภัย มีการหมุนเวียนและเพิกถอนเมื่อจำเป็น</w:t>
      </w:r>
    </w:p>
    <w:p>
      <w:pPr>
        <w:numPr>
          <w:ilvl w:val="0"/>
          <w:numId w:val="1017"/>
        </w:numPr>
        <w:pStyle w:val="Compact"/>
      </w:pPr>
      <w:r>
        <w:t xml:space="preserve">ห้ามใช้算法หรือโปรโตคอลที่ล้าสมัยซึ่งมีความเสี่ยงสูง</w:t>
      </w:r>
    </w:p>
    <w:bookmarkEnd w:id="39"/>
    <w:bookmarkStart w:id="40" w:name="การสำรองขอมลและการกคน-backup-recovery"/>
    <w:p>
      <w:pPr>
        <w:pStyle w:val="Heading3"/>
      </w:pPr>
      <w:r>
        <w:t xml:space="preserve">6.8 การสำรองข้อมูลและการกู้คืน (Backup &amp; Recovery)</w:t>
      </w:r>
    </w:p>
    <w:p>
      <w:pPr>
        <w:numPr>
          <w:ilvl w:val="0"/>
          <w:numId w:val="1018"/>
        </w:numPr>
        <w:pStyle w:val="Compact"/>
      </w:pPr>
      <w:r>
        <w:t xml:space="preserve">สำรองข้อมูลสำคัญอย่างสม่ำเสมอตามตารางที่กำหนด และเก็บสำเนาอย่างน้อยส่วนหนึ่งแยกจากระบบหลัก</w:t>
      </w:r>
    </w:p>
    <w:p>
      <w:pPr>
        <w:numPr>
          <w:ilvl w:val="0"/>
          <w:numId w:val="1018"/>
        </w:numPr>
        <w:pStyle w:val="Compact"/>
      </w:pPr>
      <w:r>
        <w:t xml:space="preserve">ทดสอบการกู้คืนข้อมูลเป็นระยะเพื่อยืนยันความพร้อมใช้งาน</w:t>
      </w:r>
    </w:p>
    <w:p>
      <w:pPr>
        <w:numPr>
          <w:ilvl w:val="0"/>
          <w:numId w:val="1018"/>
        </w:numPr>
        <w:pStyle w:val="Compact"/>
      </w:pPr>
      <w:r>
        <w:t xml:space="preserve">ปกป้องสื่อสำรองด้วยการควบคุมการเข้าถึงและการเข้ารหัสตามความเหมาะสม</w:t>
      </w:r>
    </w:p>
    <w:p>
      <w:pPr>
        <w:numPr>
          <w:ilvl w:val="0"/>
          <w:numId w:val="1018"/>
        </w:numPr>
        <w:pStyle w:val="Compact"/>
      </w:pPr>
      <w:r>
        <w:t xml:space="preserve">กำหนด RTO / RPO ของระบบสำคัญให้สอดคล้องกับความต่อเนื่องทางธุรกิจ</w:t>
      </w:r>
    </w:p>
    <w:bookmarkEnd w:id="40"/>
    <w:bookmarkStart w:id="41" w:name="Xd07970c837fcd9a11958e1d116c6a5edf18eebe"/>
    <w:p>
      <w:pPr>
        <w:pStyle w:val="Heading3"/>
      </w:pPr>
      <w:r>
        <w:t xml:space="preserve">6.9 การจัดการเหตุการณ์ด้านความปลอดภัย (Incident Management)</w:t>
      </w:r>
    </w:p>
    <w:p>
      <w:pPr>
        <w:numPr>
          <w:ilvl w:val="0"/>
          <w:numId w:val="1019"/>
        </w:numPr>
        <w:pStyle w:val="Compact"/>
      </w:pPr>
      <w:r>
        <w:t xml:space="preserve">ผู้พบเห็นเหตุผิดปกติต้องแจ้งช่องทางที่กำหนดโดยเร็ว เช่น ฝ่าย IT / Security / Helpdesk</w:t>
      </w:r>
    </w:p>
    <w:p>
      <w:pPr>
        <w:numPr>
          <w:ilvl w:val="0"/>
          <w:numId w:val="1019"/>
        </w:numPr>
        <w:pStyle w:val="Compact"/>
      </w:pPr>
      <w:r>
        <w:t xml:space="preserve">มีขั้นตอนการตรวจจับ วิเคราะห์ กักกัน กู้คืน และบันทึกบทเรียนหลังเกิดเหตุ (post-incident review)</w:t>
      </w:r>
    </w:p>
    <w:p>
      <w:pPr>
        <w:numPr>
          <w:ilvl w:val="0"/>
          <w:numId w:val="1019"/>
        </w:numPr>
        <w:pStyle w:val="Compact"/>
      </w:pPr>
      <w:r>
        <w:t xml:space="preserve">เหตุละเมิดข้อมูลส่วนบุคคลต้องประเมินและดำเนินการตาม PDPA รวมถึงแจ้ง สำนักงานคณะกรรมการคุ้มครองข้อมูลส่วนบุคคล ภายในกำหนดเวลาตามกฎหมายเมื่อเข้าเกณฑ์</w:t>
      </w:r>
    </w:p>
    <w:p>
      <w:pPr>
        <w:numPr>
          <w:ilvl w:val="0"/>
          <w:numId w:val="1019"/>
        </w:numPr>
        <w:pStyle w:val="Compact"/>
      </w:pPr>
      <w:r>
        <w:t xml:space="preserve">ห้ามปกปิดเหตุการณ์ด้านความปลอดภัย</w:t>
      </w:r>
    </w:p>
    <w:p>
      <w:pPr>
        <w:pStyle w:val="FirstParagraph"/>
      </w:pPr>
      <w:r>
        <w:rPr>
          <w:bCs/>
          <w:b/>
        </w:rPr>
        <w:t xml:space="preserve">ตัวอย่างเหตุที่ต้องแจ้ง:</w:t>
      </w:r>
      <w:r>
        <w:t xml:space="preserve"> </w:t>
      </w:r>
      <w:r>
        <w:t xml:space="preserve">การเข้าถึงโดยไม่ได้รับอนุญาต มัลแวร์/แรนซัมแวร์ ฟิชชิงที่สำเร็จ การสูญหายของอุปกรณ์ที่มีข้อมูลองค์กร การรั่วไหลของข้อมูล การโจมตีทำให้ระบบหยุดชะงัก</w:t>
      </w:r>
    </w:p>
    <w:bookmarkEnd w:id="41"/>
    <w:bookmarkStart w:id="42" w:name="X26afd5e73dc330de84aa69ee5ee3c7a6b345c33"/>
    <w:p>
      <w:pPr>
        <w:pStyle w:val="Heading3"/>
      </w:pPr>
      <w:r>
        <w:t xml:space="preserve">6.10 ความต่อเนื่องทางธุรกิจ (Business Continuity &amp; Disaster Recovery)</w:t>
      </w:r>
    </w:p>
    <w:p>
      <w:pPr>
        <w:numPr>
          <w:ilvl w:val="0"/>
          <w:numId w:val="1020"/>
        </w:numPr>
        <w:pStyle w:val="Compact"/>
      </w:pPr>
      <w:r>
        <w:t xml:space="preserve">จัดทำและทบทวนแผน BCP/DR สำหรับระบบและกระบวนการสำคัญ</w:t>
      </w:r>
    </w:p>
    <w:p>
      <w:pPr>
        <w:numPr>
          <w:ilvl w:val="0"/>
          <w:numId w:val="1020"/>
        </w:numPr>
        <w:pStyle w:val="Compact"/>
      </w:pPr>
      <w:r>
        <w:t xml:space="preserve">ทดสอบแผนเป็นระยะ และปรับปรุงตามผลการทดสอบ</w:t>
      </w:r>
    </w:p>
    <w:p>
      <w:pPr>
        <w:numPr>
          <w:ilvl w:val="0"/>
          <w:numId w:val="1020"/>
        </w:numPr>
        <w:pStyle w:val="Compact"/>
      </w:pPr>
      <w:r>
        <w:t xml:space="preserve">กำหนดช่องทางสื่อสารและผู้รับผิดชอบเมื่อเกิดเหตุฉุกเฉิน</w:t>
      </w:r>
    </w:p>
    <w:bookmarkEnd w:id="42"/>
    <w:bookmarkStart w:id="43" w:name="ความปลอดภยทางกายภาพ-physical-security"/>
    <w:p>
      <w:pPr>
        <w:pStyle w:val="Heading3"/>
      </w:pPr>
      <w:r>
        <w:t xml:space="preserve">6.11 ความปลอดภัยทางกายภาพ (Physical Security)</w:t>
      </w:r>
    </w:p>
    <w:p>
      <w:pPr>
        <w:numPr>
          <w:ilvl w:val="0"/>
          <w:numId w:val="1021"/>
        </w:numPr>
        <w:pStyle w:val="Compact"/>
      </w:pPr>
      <w:r>
        <w:t xml:space="preserve">จำกัดการเข้าถึงห้องเซิร์ฟเวอร์ ศูนย์ข้อมูล และพื้นที่จัดเก็บอุปกรณ์สำคัญ</w:t>
      </w:r>
    </w:p>
    <w:p>
      <w:pPr>
        <w:numPr>
          <w:ilvl w:val="0"/>
          <w:numId w:val="1021"/>
        </w:numPr>
        <w:pStyle w:val="Compact"/>
      </w:pPr>
      <w:r>
        <w:t xml:space="preserve">บันทึกการเข้า-ออกพื้นที่สำคัญ</w:t>
      </w:r>
    </w:p>
    <w:p>
      <w:pPr>
        <w:numPr>
          <w:ilvl w:val="0"/>
          <w:numId w:val="1021"/>
        </w:numPr>
        <w:pStyle w:val="Compact"/>
      </w:pPr>
      <w:r>
        <w:t xml:space="preserve">ป้องกันความเสียหายจากไฟฟ้า อุณหภูมิ น้ำ และอัคคีภัยตามความเหมาะสม</w:t>
      </w:r>
    </w:p>
    <w:p>
      <w:pPr>
        <w:numPr>
          <w:ilvl w:val="0"/>
          <w:numId w:val="1021"/>
        </w:numPr>
        <w:pStyle w:val="Compact"/>
      </w:pPr>
      <w:r>
        <w:t xml:space="preserve">ทำลายหรือทำให้ข้อมูลบนสื่อจัดเก็บไม่สามารถกู้คืนได้ก่อนจำหน่าย ทิ้ง หรือส่งซ่อม</w:t>
      </w:r>
    </w:p>
    <w:bookmarkEnd w:id="43"/>
    <w:bookmarkStart w:id="44" w:name="การใชงานอนเทอรเนต-อเมล-และเครองมอสอสาร"/>
    <w:p>
      <w:pPr>
        <w:pStyle w:val="Heading3"/>
      </w:pPr>
      <w:r>
        <w:t xml:space="preserve">6.12 การใช้งานอินเทอร์เน็ต อีเมล และเครื่องมือสื่อสาร</w:t>
      </w:r>
    </w:p>
    <w:p>
      <w:pPr>
        <w:numPr>
          <w:ilvl w:val="0"/>
          <w:numId w:val="1022"/>
        </w:numPr>
        <w:pStyle w:val="Compact"/>
      </w:pPr>
      <w:r>
        <w:t xml:space="preserve">ใช้อีเมลและอินเทอร์เน็ตเพื่อภารกิจขององค์กรเป็นหลัก</w:t>
      </w:r>
    </w:p>
    <w:p>
      <w:pPr>
        <w:numPr>
          <w:ilvl w:val="0"/>
          <w:numId w:val="1022"/>
        </w:numPr>
        <w:pStyle w:val="Compact"/>
      </w:pPr>
      <w:r>
        <w:t xml:space="preserve">ระวังฟิชชิง ลิงก์และไฟล์แนบจากแหล่งไม่น่าเชื่อถือ</w:t>
      </w:r>
    </w:p>
    <w:p>
      <w:pPr>
        <w:numPr>
          <w:ilvl w:val="0"/>
          <w:numId w:val="1022"/>
        </w:numPr>
        <w:pStyle w:val="Compact"/>
      </w:pPr>
      <w:r>
        <w:t xml:space="preserve">ห้ามส่งข้อมูลลับผ่านช่องทางที่ไม่เข้ารหัสหรือไม่ได้รับอนุญาต</w:t>
      </w:r>
    </w:p>
    <w:p>
      <w:pPr>
        <w:numPr>
          <w:ilvl w:val="0"/>
          <w:numId w:val="1022"/>
        </w:numPr>
        <w:pStyle w:val="Compact"/>
      </w:pPr>
      <w:r>
        <w:t xml:space="preserve">ห้ามติดตั้งซอฟต์แวร์เถื่อน หรือใช้บริการคลาวด์ส่วนบุคคลสำหรับเก็บข้อมูลองค์กรโดยไม่ได้รับอนุญาต</w:t>
      </w:r>
    </w:p>
    <w:p>
      <w:pPr>
        <w:numPr>
          <w:ilvl w:val="0"/>
          <w:numId w:val="1022"/>
        </w:numPr>
        <w:pStyle w:val="Compact"/>
      </w:pPr>
      <w:r>
        <w:t xml:space="preserve">การใช้ Generative AI / เครื่องมือภายนอกต้องไม่ส่งข้อมูลลับหรือข้อมูลส่วนบุคคลเข้าสู่ระบบที่ไม่ได้รับอนุมัติ</w:t>
      </w:r>
    </w:p>
    <w:bookmarkEnd w:id="44"/>
    <w:bookmarkStart w:id="45" w:name="Xbe9c4efbe855b2a9a3d390a1547b047b2ec683c"/>
    <w:p>
      <w:pPr>
        <w:pStyle w:val="Heading3"/>
      </w:pPr>
      <w:r>
        <w:t xml:space="preserve">6.13 ผู้ให้บริการภายนอกและบุคคลที่สาม (Third-Party Security)</w:t>
      </w:r>
    </w:p>
    <w:p>
      <w:pPr>
        <w:numPr>
          <w:ilvl w:val="0"/>
          <w:numId w:val="1023"/>
        </w:numPr>
        <w:pStyle w:val="Compact"/>
      </w:pPr>
      <w:r>
        <w:t xml:space="preserve">ประเมินความเสี่ยงด้านความปลอดภัยก่อนว่าจ้างหรือเชื่อมต่อระบบกับบุคคลที่สาม</w:t>
      </w:r>
    </w:p>
    <w:p>
      <w:pPr>
        <w:numPr>
          <w:ilvl w:val="0"/>
          <w:numId w:val="1023"/>
        </w:numPr>
        <w:pStyle w:val="Compact"/>
      </w:pPr>
      <w:r>
        <w:t xml:space="preserve">กำหนดข้อกำหนดด้านความปลอดภัยและการคุ้มครองข้อมูลในสัญญา</w:t>
      </w:r>
    </w:p>
    <w:p>
      <w:pPr>
        <w:numPr>
          <w:ilvl w:val="0"/>
          <w:numId w:val="1023"/>
        </w:numPr>
        <w:pStyle w:val="Compact"/>
      </w:pPr>
      <w:r>
        <w:t xml:space="preserve">จำกัดสิทธิ์การเข้าถึงเท่าที่จำเป็น และเพิกถอนเมื่อสิ้นสุดสัญญา</w:t>
      </w:r>
    </w:p>
    <w:p>
      <w:pPr>
        <w:numPr>
          <w:ilvl w:val="0"/>
          <w:numId w:val="1023"/>
        </w:numPr>
        <w:pStyle w:val="Compact"/>
      </w:pPr>
      <w:r>
        <w:t xml:space="preserve">ติดตามการปฏิบัติตามข้อกำหนดเป็นระยะตามระดับความเสี่ยง</w:t>
      </w:r>
    </w:p>
    <w:bookmarkEnd w:id="45"/>
    <w:bookmarkStart w:id="46" w:name="การบนทกและการตรวจสอบ-logging-monitoring"/>
    <w:p>
      <w:pPr>
        <w:pStyle w:val="Heading3"/>
      </w:pPr>
      <w:r>
        <w:t xml:space="preserve">6.14 การบันทึกและการตรวจสอบ (Logging &amp; Monitoring)</w:t>
      </w:r>
    </w:p>
    <w:p>
      <w:pPr>
        <w:numPr>
          <w:ilvl w:val="0"/>
          <w:numId w:val="1024"/>
        </w:numPr>
        <w:pStyle w:val="Compact"/>
      </w:pPr>
      <w:r>
        <w:t xml:space="preserve">เปิดใช้งานและเก็บรักษา log ของระบบสำคัญให้เพียงพอต่อการตรวจสอบย้อนหลัง</w:t>
      </w:r>
    </w:p>
    <w:p>
      <w:pPr>
        <w:numPr>
          <w:ilvl w:val="0"/>
          <w:numId w:val="1024"/>
        </w:numPr>
        <w:pStyle w:val="Compact"/>
      </w:pPr>
      <w:r>
        <w:t xml:space="preserve">ป้องกันการแก้ไขหรือลบ log โดยไม่ได้รับอนุญาต</w:t>
      </w:r>
    </w:p>
    <w:p>
      <w:pPr>
        <w:numPr>
          <w:ilvl w:val="0"/>
          <w:numId w:val="1024"/>
        </w:numPr>
        <w:pStyle w:val="Compact"/>
      </w:pPr>
      <w:r>
        <w:t xml:space="preserve">ตรวจสอบ log และสัญญาณเตือนอย่างสม่ำเสมอ</w:t>
      </w:r>
    </w:p>
    <w:p>
      <w:pPr>
        <w:numPr>
          <w:ilvl w:val="0"/>
          <w:numId w:val="1024"/>
        </w:numPr>
        <w:pStyle w:val="Compact"/>
      </w:pPr>
      <w:r>
        <w:t xml:space="preserve">กำหนดระยะเวลาเก็บรักษา log ให้สอดคล้องกับกฎหมายและนโยบายภายใน</w:t>
      </w:r>
    </w:p>
    <w:bookmarkEnd w:id="46"/>
    <w:bookmarkStart w:id="47" w:name="X67c2b78ca3b85371d83a49d4d375996bf629ee0"/>
    <w:p>
      <w:pPr>
        <w:pStyle w:val="Heading3"/>
      </w:pPr>
      <w:r>
        <w:t xml:space="preserve">6.15 การสร้างความตระหนักและการอบรม (Awareness &amp; Training)</w:t>
      </w:r>
    </w:p>
    <w:p>
      <w:pPr>
        <w:numPr>
          <w:ilvl w:val="0"/>
          <w:numId w:val="1025"/>
        </w:numPr>
        <w:pStyle w:val="Compact"/>
      </w:pPr>
      <w:r>
        <w:t xml:space="preserve">ผู้ใช้งานใหม่ต้องได้รับการอบรมด้านความปลอดภัยก่อนหรือเมื่อเริ่มใช้งานระบบ</w:t>
      </w:r>
    </w:p>
    <w:p>
      <w:pPr>
        <w:numPr>
          <w:ilvl w:val="0"/>
          <w:numId w:val="1025"/>
        </w:numPr>
        <w:pStyle w:val="Compact"/>
      </w:pPr>
      <w:r>
        <w:t xml:space="preserve">จัดอบรมทบทวนอย่างน้อยปีละ 1 ครั้ง และเมื่อมีภัยคุกคามรูปแบบใหม่ที่สำคัญ</w:t>
      </w:r>
    </w:p>
    <w:p>
      <w:pPr>
        <w:numPr>
          <w:ilvl w:val="0"/>
          <w:numId w:val="1025"/>
        </w:numPr>
        <w:pStyle w:val="Compact"/>
      </w:pPr>
      <w:r>
        <w:t xml:space="preserve">อาจมีการทดสอบความตระหนัก เช่น การจำลองฟิชชิง ตามความเหมาะสม</w:t>
      </w:r>
    </w:p>
    <w:bookmarkEnd w:id="47"/>
    <w:bookmarkStart w:id="48" w:name="การคมครองขอมลสวนบคคล-pdpa"/>
    <w:p>
      <w:pPr>
        <w:pStyle w:val="Heading3"/>
      </w:pPr>
      <w:r>
        <w:t xml:space="preserve">6.16 การคุ้มครองข้อมูลส่วนบุคคล (PDPA)</w:t>
      </w:r>
    </w:p>
    <w:p>
      <w:pPr>
        <w:numPr>
          <w:ilvl w:val="0"/>
          <w:numId w:val="1026"/>
        </w:numPr>
        <w:pStyle w:val="Compact"/>
      </w:pPr>
      <w:r>
        <w:t xml:space="preserve">เก็บ ใช้ เปิดเผยข้อมูลส่วนบุคคลเท่าที่จำเป็นตามวัตถุประสงค์ที่ชอบด้วยกฎหมาย</w:t>
      </w:r>
    </w:p>
    <w:p>
      <w:pPr>
        <w:numPr>
          <w:ilvl w:val="0"/>
          <w:numId w:val="1026"/>
        </w:numPr>
        <w:pStyle w:val="Compact"/>
      </w:pPr>
      <w:r>
        <w:t xml:space="preserve">ใช้มาตรการรักษาความปลอดภัยที่เหมาะสมกับความเสี่ยงของข้อมูล</w:t>
      </w:r>
    </w:p>
    <w:p>
      <w:pPr>
        <w:numPr>
          <w:ilvl w:val="0"/>
          <w:numId w:val="1026"/>
        </w:numPr>
        <w:pStyle w:val="Compact"/>
      </w:pPr>
      <w:r>
        <w:t xml:space="preserve">จำกัดการเข้าถึงข้อมูลส่วนบุคคลเฉพาะผู้ที่มีหน้าที่เกี่ยวข้อง</w:t>
      </w:r>
    </w:p>
    <w:p>
      <w:pPr>
        <w:numPr>
          <w:ilvl w:val="0"/>
          <w:numId w:val="1026"/>
        </w:numPr>
        <w:pStyle w:val="Compact"/>
      </w:pPr>
      <w:r>
        <w:t xml:space="preserve">มีช่องทางรองรับการใช้สิทธิของเจ้าของข้อมูล</w:t>
      </w:r>
    </w:p>
    <w:p>
      <w:pPr>
        <w:numPr>
          <w:ilvl w:val="0"/>
          <w:numId w:val="1026"/>
        </w:numPr>
        <w:pStyle w:val="Compact"/>
      </w:pPr>
      <w:r>
        <w:t xml:space="preserve">เมื่อเกิดเหตุละเมิด ต้องประเมินผลกระทบและดำเนินการตามขั้นตอนที่กฎหมายกำหนด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9eb45f88679d4d856134acfff60344d1e27368"/>
    <w:p>
      <w:pPr>
        <w:pStyle w:val="Heading2"/>
      </w:pPr>
      <w:r>
        <w:t xml:space="preserve">7. การยอมรับความเสี่ยงและการยกเว้น (Risk Acceptance &amp; Exceptions)</w:t>
      </w:r>
    </w:p>
    <w:p>
      <w:pPr>
        <w:numPr>
          <w:ilvl w:val="0"/>
          <w:numId w:val="1027"/>
        </w:numPr>
        <w:pStyle w:val="Compact"/>
      </w:pPr>
      <w:r>
        <w:t xml:space="preserve">การขอยกเว้นจากนโยบายต้องทำเป็นลายลักษณ์อักษร ระบุเหตุผล ระยะเวลา และมาตรการชดเชยความเสี่ยง</w:t>
      </w:r>
    </w:p>
    <w:p>
      <w:pPr>
        <w:numPr>
          <w:ilvl w:val="0"/>
          <w:numId w:val="1027"/>
        </w:numPr>
        <w:pStyle w:val="Compact"/>
      </w:pPr>
      <w:r>
        <w:t xml:space="preserve">ต้องได้รับอนุมัติจากผู้มีอำนาจที่กำหนด และทบทวนการยกเว้นเป็นระยะ</w:t>
      </w:r>
    </w:p>
    <w:p>
      <w:pPr>
        <w:numPr>
          <w:ilvl w:val="0"/>
          <w:numId w:val="1027"/>
        </w:numPr>
        <w:pStyle w:val="Compact"/>
      </w:pPr>
      <w:r>
        <w:t xml:space="preserve">ความเสี่ยงที่เหลืออยู่ (residual risk) ต้องได้รับการยอมรับอย่างเป็นทางการจากผู้รับผิดชอบที่เหมาะสม</w:t>
      </w:r>
    </w:p>
    <w:p>
      <w:r>
        <w:pict>
          <v:rect style="width:0;height:1.5pt" o:hralign="center" o:hrstd="t" o:hr="t"/>
        </w:pict>
      </w:r>
    </w:p>
    <w:bookmarkEnd w:id="50"/>
    <w:bookmarkStart w:id="51" w:name="การบงคบใชและบทลงโทษ"/>
    <w:p>
      <w:pPr>
        <w:pStyle w:val="Heading2"/>
      </w:pPr>
      <w:r>
        <w:t xml:space="preserve">8. การบังคับใช้และบทลงโทษ</w:t>
      </w:r>
    </w:p>
    <w:p>
      <w:pPr>
        <w:numPr>
          <w:ilvl w:val="0"/>
          <w:numId w:val="1028"/>
        </w:numPr>
        <w:pStyle w:val="Compact"/>
      </w:pPr>
      <w:r>
        <w:t xml:space="preserve">ผู้ใช้งานทุกคนมีหน้าที่ปฏิบัติตามนโยบายนี้</w:t>
      </w:r>
    </w:p>
    <w:p>
      <w:pPr>
        <w:numPr>
          <w:ilvl w:val="0"/>
          <w:numId w:val="1028"/>
        </w:numPr>
        <w:pStyle w:val="Compact"/>
      </w:pPr>
      <w:r>
        <w:t xml:space="preserve">การฝ่าฝืนอาจนำไปสู่มาตรการทางวินัยตามระเบียบขององค์กร รวมถึงการระงับสิทธิ์การใช้งาน และการดำเนินการทางกฎหมายหากก่อให้เกิดความเสียหายหรือละเมิดกฎหมาย</w:t>
      </w:r>
    </w:p>
    <w:p>
      <w:pPr>
        <w:numPr>
          <w:ilvl w:val="0"/>
          <w:numId w:val="1028"/>
        </w:numPr>
        <w:pStyle w:val="Compact"/>
      </w:pPr>
      <w:r>
        <w:t xml:space="preserve">ความไม่รู้จักนโยบายไม่ถือเป็นข้ออ้างในการฝ่าฝืน</w:t>
      </w:r>
    </w:p>
    <w:p>
      <w:r>
        <w:pict>
          <v:rect style="width:0;height:1.5pt" o:hralign="center" o:hrstd="t" o:hr="t"/>
        </w:pict>
      </w:r>
    </w:p>
    <w:bookmarkEnd w:id="51"/>
    <w:bookmarkStart w:id="52" w:name="การทบทวนและปรบปรงนโยบาย"/>
    <w:p>
      <w:pPr>
        <w:pStyle w:val="Heading2"/>
      </w:pPr>
      <w:r>
        <w:t xml:space="preserve">9. การทบทวนและปรับปรุงนโยบาย</w:t>
      </w:r>
    </w:p>
    <w:p>
      <w:pPr>
        <w:numPr>
          <w:ilvl w:val="0"/>
          <w:numId w:val="1029"/>
        </w:numPr>
        <w:pStyle w:val="Compact"/>
      </w:pPr>
      <w:r>
        <w:t xml:space="preserve">ทบทวนนโยบายอย่างน้อย</w:t>
      </w:r>
      <w:r>
        <w:t xml:space="preserve"> </w:t>
      </w:r>
      <w:r>
        <w:rPr>
          <w:bCs/>
          <w:b/>
        </w:rPr>
        <w:t xml:space="preserve">ปีละ 1 ครั้ง</w:t>
      </w:r>
    </w:p>
    <w:p>
      <w:pPr>
        <w:numPr>
          <w:ilvl w:val="0"/>
          <w:numId w:val="1029"/>
        </w:numPr>
        <w:pStyle w:val="Compact"/>
      </w:pPr>
      <w:r>
        <w:t xml:space="preserve">ทบทวนทันทีเมื่อมีการเปลี่ยนแปลงด้านกฎหมาย เทคโนโลยี โครงสร้างองค์กร หรือเกิดเหตุการณ์ร้ายแรง</w:t>
      </w:r>
    </w:p>
    <w:p>
      <w:pPr>
        <w:numPr>
          <w:ilvl w:val="0"/>
          <w:numId w:val="1029"/>
        </w:numPr>
        <w:pStyle w:val="Compact"/>
      </w:pPr>
      <w:r>
        <w:t xml:space="preserve">เวอร์ชันที่ได้รับการอนุมัติเท่านั้นถือเป็นเอกสารที่มีผลบังคับใช้</w:t>
      </w:r>
    </w:p>
    <w:p>
      <w:pPr>
        <w:numPr>
          <w:ilvl w:val="0"/>
          <w:numId w:val="1029"/>
        </w:numPr>
        <w:pStyle w:val="Compact"/>
      </w:pPr>
      <w:r>
        <w:t xml:space="preserve">นโยบายที่เกี่ยวข้องหรือแนวปฏิบัติสนับสนุน ต้องสอดคล้องกับเอกสารฉบับนี้</w:t>
      </w:r>
    </w:p>
    <w:p>
      <w:r>
        <w:pict>
          <v:rect style="width:0;height:1.5pt" o:hralign="center" o:hrstd="t" o:hr="t"/>
        </w:pict>
      </w:r>
    </w:p>
    <w:bookmarkEnd w:id="52"/>
    <w:bookmarkStart w:id="53" w:name="เอกสารอางองและเอกสารทเกยวของ"/>
    <w:p>
      <w:pPr>
        <w:pStyle w:val="Heading2"/>
      </w:pPr>
      <w:r>
        <w:t xml:space="preserve">10. เอกสารอ้างอิงและเอกสารที่เกี่ยวข้อง</w:t>
      </w:r>
    </w:p>
    <w:p>
      <w:pPr>
        <w:pStyle w:val="FirstParagraph"/>
      </w:pPr>
      <w:r>
        <w:t xml:space="preserve">แนะนำให้จัดทำหรืออ้างอิงเอกสารประกอบ ดังนี้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รหัส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ชื่อเอกสาร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มาตรฐานรหัสผ่านและการพิสูจน์ตัวตน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STD-ITSEC-002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มาตรฐานการจัดประเภทข้อมูล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มาตรฐานการควบคุมเอกสาร (ISO 9001)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ขั้นตอนการจัดการเหตุการณ์ด้านความปลอดภัย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ขั้นตอนการขอ/เปลี่ยนแปลง/เพิกถอนสิทธิ์ผู้ใช้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PROC-BCP-001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แผนความต่อเนื่องทางธุรกิจและกู้คืนจากภัยพิบัติ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POL-PDPA-001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นโยบายคุ้มครองข้อมูลส่วนบุคคล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FORM-EXC-001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แบบฟอร์มขอยกเว้นนโยบายความปลอดภัย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ทะเบียนแม่เอกสาร (Document Master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FORM-QMS-002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แบบฟอร์มขอเปลี่ยนแปลงเอกสาร</w:t>
            </w:r>
          </w:p>
        </w:tc>
      </w:tr>
    </w:tbl>
    <w:p>
      <w:pPr>
        <w:pStyle w:val="BodyText"/>
      </w:pPr>
      <w:r>
        <w:rPr>
          <w:bCs/>
          <w:b/>
        </w:rPr>
        <w:t xml:space="preserve">กฎหมายและมาตรฐานอ้างอิง</w:t>
      </w:r>
      <w:r>
        <w:t xml:space="preserve"> </w:t>
      </w:r>
      <w:r>
        <w:t xml:space="preserve">- พระราชบัญญัติคุ้มครองข้อมูลส่วนบุคคล พ.ศ. 2562</w:t>
      </w:r>
      <w:r>
        <w:t xml:space="preserve"> </w:t>
      </w:r>
      <w:r>
        <w:t xml:space="preserve">- พระราชบัญญัติการรักษาความมั่นคงปลอดภัยไซเบอร์ พ.ศ. 2562</w:t>
      </w:r>
      <w:r>
        <w:t xml:space="preserve"> </w:t>
      </w:r>
      <w:r>
        <w:t xml:space="preserve">- ISO/IEC 27001:2022 — Information security, cybersecurity and privacy protection</w:t>
      </w:r>
      <w:r>
        <w:t xml:space="preserve"> </w:t>
      </w:r>
      <w:r>
        <w:t xml:space="preserve">- ISO/IEC 27002:2022 — Information security controls</w:t>
      </w:r>
    </w:p>
    <w:p>
      <w:r>
        <w:pict>
          <v:rect style="width:0;height:1.5pt" o:hralign="center" o:hrstd="t" o:hr="t"/>
        </w:pict>
      </w:r>
    </w:p>
    <w:bookmarkEnd w:id="53"/>
    <w:bookmarkStart w:id="54" w:name="ประวตการปรบปรงเอกสาร"/>
    <w:p>
      <w:pPr>
        <w:pStyle w:val="Heading2"/>
      </w:pPr>
      <w:r>
        <w:t xml:space="preserve">11.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การรบทราบและลงนาม"/>
    <w:p>
      <w:pPr>
        <w:pStyle w:val="Heading2"/>
      </w:pPr>
      <w:r>
        <w:t xml:space="preserve">12. การรับทราบและลงนาม</w:t>
      </w:r>
    </w:p>
    <w:p>
      <w:pPr>
        <w:pStyle w:val="FirstParagraph"/>
      </w:pPr>
      <w:r>
        <w:t xml:space="preserve">ข้าพเจ้าได้อ่านและเข้าใจนโยบายการรักษาความปลอดภัยระบบเทคโนโลยีสารสนเทศฉบับนี้แล้ว และตกลงปฏิบัติตาม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ชื่อ-นามสกุล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ตำแหน่ง / หน่วยงาน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