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มาตรฐานการจดประเภทขอมล"/>
    <w:p>
      <w:pPr>
        <w:pStyle w:val="Heading1"/>
      </w:pPr>
      <w:r>
        <w:t xml:space="preserve">มาตรฐานการจัดประเภทข้อมูล</w:t>
      </w:r>
    </w:p>
    <w:bookmarkStart w:id="20" w:name="data-classification-standard"/>
    <w:p>
      <w:pPr>
        <w:pStyle w:val="Heading2"/>
      </w:pPr>
      <w:r>
        <w:t xml:space="preserve">Data Classification Standard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STD-ITSEC-001 มาตรฐานรหัสผ่านและการพิสูจน์ตัวตน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[ผู้บริหารฝ่ายเทคโนโลยีสารสนเทศ / ISO]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เจ้าของข้อมูล (Data Owner) / ฝ่ายเทคโนโลยีสารสนเทศ / Information Security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หรือเมื่อมีการเปลี่ยนแปลงที่สำคัญ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มาตรฐานฉบับนี้กำหนดกรอบการจัดประเภทข้อมูล แนวทางการจัดการตามระดับความลับ และหน้าที่ของผู้เกี่ยวข้อง เพื่อ</w:t>
      </w:r>
    </w:p>
    <w:p>
      <w:pPr>
        <w:numPr>
          <w:ilvl w:val="0"/>
          <w:numId w:val="1001"/>
        </w:numPr>
        <w:pStyle w:val="Compact"/>
      </w:pPr>
      <w:r>
        <w:t xml:space="preserve">ให้ข้อมูลขององค์กรได้รับการจัดประเภทอย่างสม่ำเสมอและเข้าใจตรงกัน</w:t>
      </w:r>
    </w:p>
    <w:p>
      <w:pPr>
        <w:numPr>
          <w:ilvl w:val="0"/>
          <w:numId w:val="1001"/>
        </w:numPr>
        <w:pStyle w:val="Compact"/>
      </w:pPr>
      <w:r>
        <w:t xml:space="preserve">กำหนดมาตรการปกป้องที่เหมาะสมกับระดับความเสี่ยงของข้อมูล</w:t>
      </w:r>
    </w:p>
    <w:p>
      <w:pPr>
        <w:numPr>
          <w:ilvl w:val="0"/>
          <w:numId w:val="1001"/>
        </w:numPr>
        <w:pStyle w:val="Compact"/>
      </w:pPr>
      <w:r>
        <w:t xml:space="preserve">ลดโอกาสการเปิดเผย สูญหาย แก้ไขโดยไม่ได้รับอนุญาต หรือใช้ข้อมูลผิดวัตถุประสงค์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POL-ITSEC-001, พ.ร.บ.คุ้มครองข้อมูลส่วนบุคคล พ.ศ. 2562 และหลักการ ISO/IEC 27001/27002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มาตรฐานนี้ใช้กับข้อมูลทุกรูปแบบที่องค์กรเป็นเจ้าของ ครอบครอง ประมวลผล ส่งต่อ หรือจัดเก็บ รวมถึง</w:t>
      </w:r>
    </w:p>
    <w:p>
      <w:pPr>
        <w:numPr>
          <w:ilvl w:val="0"/>
          <w:numId w:val="1002"/>
        </w:numPr>
        <w:pStyle w:val="Compact"/>
      </w:pPr>
      <w:r>
        <w:t xml:space="preserve">ข้อมูลอิเล็กทรอนิกส์ กระดาษ ภาพ เสียง และข้อมูลในระบบคลาวด์</w:t>
      </w:r>
    </w:p>
    <w:p>
      <w:pPr>
        <w:numPr>
          <w:ilvl w:val="0"/>
          <w:numId w:val="1002"/>
        </w:numPr>
        <w:pStyle w:val="Compact"/>
      </w:pPr>
      <w:r>
        <w:t xml:space="preserve">ข้อมูลธุรกิจ ข้อมูลส่วนบุคคล ข้อมูลเทคนิค และข้อมูลความลับทางการค้า</w:t>
      </w:r>
    </w:p>
    <w:p>
      <w:pPr>
        <w:numPr>
          <w:ilvl w:val="0"/>
          <w:numId w:val="1002"/>
        </w:numPr>
        <w:pStyle w:val="Compact"/>
      </w:pPr>
      <w:r>
        <w:t xml:space="preserve">ข้อมูลที่สร้างโดยพนักงาน ผู้รับจ้าง พันธมิตร หรือระบบขององค์กร</w:t>
      </w:r>
    </w:p>
    <w:p>
      <w:pPr>
        <w:numPr>
          <w:ilvl w:val="0"/>
          <w:numId w:val="1002"/>
        </w:numPr>
        <w:pStyle w:val="Compact"/>
      </w:pPr>
      <w:r>
        <w:t xml:space="preserve">ข้อมูลที่อยู่กับผู้ให้บริการภายนอกซึ่งประมวลผลแทนองค์กร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การจัดประเภทข้อมูล (Data Classification)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การกำหนดระดับความลับ/ความสำคัญของข้อมูลเพื่อเลือกมาตรการปกป้องที่เหมาะสม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เจ้าของข้อมูล (Data 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ผู้รับผิดชอบทางธุรกิจต่อชุดข้อมูล มีอำนาจอนุมัติการเข้าถึงและการจัดประเภท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ผู้ดูแลข้อมูล (Data Custodian)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ผู้ดูแลระบบ/คลังข้อมูลที่เก็บรักษาและบังคับใช้มาตรการปกป้องตามที่เจ้าของข้อมูลกำหนด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ผู้ใช้ข้อมูล (Data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ผู้ที่ได้รับอนุญาตให้เข้าถึงหรือใช้ข้อมูลตามหน้าที่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ข้อมูลเกี่ยวกับบุคคลซึ่งทำให้สามารถระบุตัวบุคคลนั้นได้ตาม PDPA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ข้อมูลส่วนบุคคลอ่อนไหว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ข้อมูลส่วนบุคคลประเภทอ่อนไหวตามที่กฎหมายกำหนด เช่น เชื้อชาติ ความเชื่อ สุขภาพ พฤติกรรมทางเพศ ประวัติอาชญากรรม ข้อมูลชีวภาพ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Need-to-Know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หลักการให้เข้าถึงเฉพาะผู้ที่จำเป็นต่องานเท่านั้น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การทำให้ข้อมูลไม่ระบุตัวตน (Anonymization)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การทำให้ไม่สามารถระบุตัวบุคคลได้อีก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การลดความละเอียดของข้อมูล (Pseudonymization / Masking)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การแทนค่าหรือปกปิดบางส่วน เพื่อลดความเสี่ยงแต่ยังเชื่อมโยงกลับได้ภายใต้เงื่อนไข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ระดบการจดประเภทขอมล"/>
    <w:p>
      <w:pPr>
        <w:pStyle w:val="Heading2"/>
      </w:pPr>
      <w:r>
        <w:t xml:space="preserve">4. ระดับการจัดประเภทข้อมูล</w:t>
      </w:r>
    </w:p>
    <w:p>
      <w:pPr>
        <w:pStyle w:val="FirstParagraph"/>
      </w:pPr>
      <w:r>
        <w:t xml:space="preserve">องค์กรกำหนด 4 ระดับ ดังนี้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8"/>
        <w:gridCol w:w="2568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ภาษาอังกฤษ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ความหมายโดยสรุป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ลับที่สุด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หากรั่วไหลหรือถูกทำลายจะเกิดผลกระทบร้ายแรงต่อองค์กร ลูกค้า กฎหมาย หรือความมั่นคงของระบบ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หากรั่วไหลจะเกิดผลกระทบสูงต่อธุรกิจ ความน่าเชื่อถือ หรือสิทธิของบุคคล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ใช้ภายในองค์กร หากรั่วไหลมีผลกระทบจำกัด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เผยแพร่ได้โดยทั่วไป และไม่ก่อให้เกิดความเสียหายหากเปิดเผย</w:t>
            </w:r>
          </w:p>
        </w:tc>
      </w:tr>
    </w:tbl>
    <w:p>
      <w:pPr>
        <w:pStyle w:val="BlockText"/>
      </w:pPr>
      <w:r>
        <w:t xml:space="preserve">หากข้อมูลชุดหนึ่งประกอบด้วยหลายระดับ ให้จัดประเภทตาม</w:t>
      </w:r>
      <w:r>
        <w:t xml:space="preserve"> </w:t>
      </w:r>
      <w:r>
        <w:rPr>
          <w:bCs/>
          <w:b/>
        </w:rPr>
        <w:t xml:space="preserve">ระดับสูงสุด</w:t>
      </w:r>
      <w:r>
        <w:t xml:space="preserve"> </w:t>
      </w:r>
      <w:r>
        <w:t xml:space="preserve">ที่มีอยู่ในชุดข้อมูลนั้น</w:t>
      </w:r>
    </w:p>
    <w:p>
      <w:r>
        <w:pict>
          <v:rect style="width:0;height:1.5pt" o:hralign="center" o:hrstd="t" o:hr="t"/>
        </w:pict>
      </w:r>
    </w:p>
    <w:bookmarkEnd w:id="24"/>
    <w:bookmarkStart w:id="26" w:name="เกณฑการพจารณาจดประเภท"/>
    <w:p>
      <w:pPr>
        <w:pStyle w:val="Heading2"/>
      </w:pPr>
      <w:r>
        <w:t xml:space="preserve">5. เกณฑ์การพิจารณาจัดประเภท</w:t>
      </w:r>
    </w:p>
    <w:p>
      <w:pPr>
        <w:pStyle w:val="FirstParagraph"/>
      </w:pPr>
      <w:r>
        <w:t xml:space="preserve">ให้พิจารณาอย่างน้อยตามมิติต่อไปนี้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ผลกระทบทางธุรกิจ</w:t>
      </w:r>
      <w:r>
        <w:t xml:space="preserve"> </w:t>
      </w:r>
      <w:r>
        <w:t xml:space="preserve">— การเงิน ชื่อเสียง การแข่งขัน การดำเนินงานต่อเนื่อง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ผลกระทบต่อเจ้าของข้อมูล/ลูกค้า</w:t>
      </w:r>
      <w:r>
        <w:t xml:space="preserve"> </w:t>
      </w:r>
      <w:r>
        <w:t xml:space="preserve">— ความเสียหายต่อสิทธิ เสรีภาพ หรือความเป็นส่วนตัว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ข้อกำหนดทางกฎหมายและสัญญา</w:t>
      </w:r>
      <w:r>
        <w:t xml:space="preserve"> </w:t>
      </w:r>
      <w:r>
        <w:t xml:space="preserve">— PDPA ความลับตามสัญญา ใบอนุญาต ข้อกำหนดคู่ค้า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ความสำคัญต่อระบบ</w:t>
      </w:r>
      <w:r>
        <w:t xml:space="preserve"> </w:t>
      </w:r>
      <w:r>
        <w:t xml:space="preserve">— คีย์เข้ารหัส การตั้งค่าความปลอดภัย แผนกู้คืน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ขอบเขตการเผยแพร่ที่ตั้งใจ</w:t>
      </w:r>
      <w:r>
        <w:t xml:space="preserve"> </w:t>
      </w:r>
      <w:r>
        <w:t xml:space="preserve">— เผยแพร่สาธารณะ ใช้ภายใน หรือจำกัดเฉพาะกลุ่ม</w:t>
      </w:r>
    </w:p>
    <w:bookmarkStart w:id="25" w:name="ตารางผลกระทบโดยยอ"/>
    <w:p>
      <w:pPr>
        <w:pStyle w:val="Heading3"/>
      </w:pPr>
      <w:r>
        <w:t xml:space="preserve">5.1 ตารางผลกระทบโดยย่อ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หากเกิดการรั่วไหล/เสียหาย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ระดับที่ควรพิจารณา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กระทบกว้าง ผิดกฎหมาย มีโทษ เสียหายรุนแรง หรือกระทบโครงสร้างพื้นฐานสำคัญ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ลับที่สุด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กระทบธุรกิจหรือสิทธิบุคคลอย่างมีนัยสำคัญ แต่ควบคุมวงจำกัดได้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กระทบเฉพาะภายในองค์กรหรือเสียหายต่ำ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ไม่ก่อความเสียหาย หรือตั้งใจให้เผยแพร่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สาธารณะ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ตวอยางขอมลในแตละระดบ"/>
    <w:p>
      <w:pPr>
        <w:pStyle w:val="Heading2"/>
      </w:pPr>
      <w:r>
        <w:t xml:space="preserve">6. ตัวอย่างข้อมูลในแต่ละระดับ</w:t>
      </w:r>
    </w:p>
    <w:bookmarkStart w:id="27" w:name="ลบทสด-restricted"/>
    <w:p>
      <w:pPr>
        <w:pStyle w:val="Heading3"/>
      </w:pPr>
      <w:r>
        <w:t xml:space="preserve">6.1 ลับที่สุด (Restricted)</w:t>
      </w:r>
    </w:p>
    <w:p>
      <w:pPr>
        <w:numPr>
          <w:ilvl w:val="0"/>
          <w:numId w:val="1004"/>
        </w:numPr>
        <w:pStyle w:val="Compact"/>
      </w:pPr>
      <w:r>
        <w:t xml:space="preserve">ข้อมูลส่วนบุคคลอ่อนไหว (สุขภาพ ชีวภาพ ศาสนา ประวัติอาชญากรรม ฯลฯ)</w:t>
      </w:r>
    </w:p>
    <w:p>
      <w:pPr>
        <w:numPr>
          <w:ilvl w:val="0"/>
          <w:numId w:val="1004"/>
        </w:numPr>
        <w:pStyle w:val="Compact"/>
      </w:pPr>
      <w:r>
        <w:t xml:space="preserve">หมายเลขบัตรประชาชน / หนังสือเดินทาง คู่กับข้อมูลอื่นที่ระบุตัวตนได้ในบริบทที่มีความเสี่ยงสูง</w:t>
      </w:r>
    </w:p>
    <w:p>
      <w:pPr>
        <w:numPr>
          <w:ilvl w:val="0"/>
          <w:numId w:val="1004"/>
        </w:numPr>
        <w:pStyle w:val="Compact"/>
      </w:pPr>
      <w:r>
        <w:t xml:space="preserve">ข้อมูลการเงินสำคัญ เช่น บัญชีเงินเดือนทั้งชุด ข้อมูลบัตรชำระเงิน ข้อมูลบัญชีธนาคารลูกค้า</w:t>
      </w:r>
    </w:p>
    <w:p>
      <w:pPr>
        <w:numPr>
          <w:ilvl w:val="0"/>
          <w:numId w:val="1004"/>
        </w:numPr>
        <w:pStyle w:val="Compact"/>
      </w:pPr>
      <w:r>
        <w:t xml:space="preserve">กุญแจเข้ารหัส ใบรับรองส่วนตัว MFA seed และ credential สิทธิพิเศษ</w:t>
      </w:r>
    </w:p>
    <w:p>
      <w:pPr>
        <w:numPr>
          <w:ilvl w:val="0"/>
          <w:numId w:val="1004"/>
        </w:numPr>
        <w:pStyle w:val="Compact"/>
      </w:pPr>
      <w:r>
        <w:t xml:space="preserve">ซอร์สโค้ดหรือการตั้งค่าที่เกี่ยวข้องโดยตรงกับความปลอดภัยของระบบผลิต (production security config)</w:t>
      </w:r>
    </w:p>
    <w:p>
      <w:pPr>
        <w:numPr>
          <w:ilvl w:val="0"/>
          <w:numId w:val="1004"/>
        </w:numPr>
        <w:pStyle w:val="Compact"/>
      </w:pPr>
      <w:r>
        <w:t xml:space="preserve">เอกสารสอบสวนเหตุละเมิด ความลับทางการค้าขั้นสูง แผนควบรวมกิจการที่ยังไม่เปิดเผย</w:t>
      </w:r>
    </w:p>
    <w:bookmarkEnd w:id="27"/>
    <w:bookmarkStart w:id="28" w:name="ลบ-confidential"/>
    <w:p>
      <w:pPr>
        <w:pStyle w:val="Heading3"/>
      </w:pPr>
      <w:r>
        <w:t xml:space="preserve">6.2 ลับ (Confidential)</w:t>
      </w:r>
    </w:p>
    <w:p>
      <w:pPr>
        <w:numPr>
          <w:ilvl w:val="0"/>
          <w:numId w:val="1005"/>
        </w:numPr>
        <w:pStyle w:val="Compact"/>
      </w:pPr>
      <w:r>
        <w:t xml:space="preserve">ข้อมูลส่วนบุคคลทั่วไปของพนักงาน ลูกค้า คู่ค้า (ชื่อ ที่อยู่ อีเมล เบอร์โทร ในฐานข้อมูลงาน)</w:t>
      </w:r>
    </w:p>
    <w:p>
      <w:pPr>
        <w:numPr>
          <w:ilvl w:val="0"/>
          <w:numId w:val="1005"/>
        </w:numPr>
        <w:pStyle w:val="Compact"/>
      </w:pPr>
      <w:r>
        <w:t xml:space="preserve">สัญญา ราคา ต้นทุน ข้อเสนอทางธุรกิจที่ยังไม่สาธารณะ</w:t>
      </w:r>
    </w:p>
    <w:p>
      <w:pPr>
        <w:numPr>
          <w:ilvl w:val="0"/>
          <w:numId w:val="1005"/>
        </w:numPr>
        <w:pStyle w:val="Compact"/>
      </w:pPr>
      <w:r>
        <w:t xml:space="preserve">รายงานทางการเงินภายในก่อนเผยแพร่</w:t>
      </w:r>
    </w:p>
    <w:p>
      <w:pPr>
        <w:numPr>
          <w:ilvl w:val="0"/>
          <w:numId w:val="1005"/>
        </w:numPr>
        <w:pStyle w:val="Compact"/>
      </w:pPr>
      <w:r>
        <w:t xml:space="preserve">บันทึกการประเมินผลการทำงาน ข้อมูล HR ที่ไม่ถึงขั้นอ่อนไหวตามกฎหมาย</w:t>
      </w:r>
    </w:p>
    <w:p>
      <w:pPr>
        <w:numPr>
          <w:ilvl w:val="0"/>
          <w:numId w:val="1005"/>
        </w:numPr>
        <w:pStyle w:val="Compact"/>
      </w:pPr>
      <w:r>
        <w:t xml:space="preserve">แผนการตลาด ข้อมูลลูกค้ารายชื่อเชิงธุรกิจ บันทึกการเจรจา</w:t>
      </w:r>
    </w:p>
    <w:bookmarkEnd w:id="28"/>
    <w:bookmarkStart w:id="29" w:name="ภายใน-internal"/>
    <w:p>
      <w:pPr>
        <w:pStyle w:val="Heading3"/>
      </w:pPr>
      <w:r>
        <w:t xml:space="preserve">6.3 ภายใน (Internal)</w:t>
      </w:r>
    </w:p>
    <w:p>
      <w:pPr>
        <w:numPr>
          <w:ilvl w:val="0"/>
          <w:numId w:val="1006"/>
        </w:numPr>
        <w:pStyle w:val="Compact"/>
      </w:pPr>
      <w:r>
        <w:t xml:space="preserve">คู่มือปฏิบัติงานภายใน นโยบาย ระเบียบที่ไม่ใช่เอกสารสาธารณะ</w:t>
      </w:r>
    </w:p>
    <w:p>
      <w:pPr>
        <w:numPr>
          <w:ilvl w:val="0"/>
          <w:numId w:val="1006"/>
        </w:numPr>
        <w:pStyle w:val="Compact"/>
      </w:pPr>
      <w:r>
        <w:t xml:space="preserve">ประกาศภายในองค์กร ตารางเวร แผนการประชุมทั่วไป</w:t>
      </w:r>
    </w:p>
    <w:p>
      <w:pPr>
        <w:numPr>
          <w:ilvl w:val="0"/>
          <w:numId w:val="1006"/>
        </w:numPr>
        <w:pStyle w:val="Compact"/>
      </w:pPr>
      <w:r>
        <w:t xml:space="preserve">เอกสารโครงการภายในที่ไม่เปิดเผยต่อภายนอก</w:t>
      </w:r>
    </w:p>
    <w:p>
      <w:pPr>
        <w:numPr>
          <w:ilvl w:val="0"/>
          <w:numId w:val="1006"/>
        </w:numPr>
        <w:pStyle w:val="Compact"/>
      </w:pPr>
      <w:r>
        <w:t xml:space="preserve">สถิติรวมภายในที่ไม่ระบุตัวบุคคลและไม่ใช่ความลับทางธุรกิจสูง</w:t>
      </w:r>
    </w:p>
    <w:bookmarkEnd w:id="29"/>
    <w:bookmarkStart w:id="30" w:name="สาธารณะ-public"/>
    <w:p>
      <w:pPr>
        <w:pStyle w:val="Heading3"/>
      </w:pPr>
      <w:r>
        <w:t xml:space="preserve">6.4 สาธารณะ (Public)</w:t>
      </w:r>
    </w:p>
    <w:p>
      <w:pPr>
        <w:numPr>
          <w:ilvl w:val="0"/>
          <w:numId w:val="1007"/>
        </w:numPr>
        <w:pStyle w:val="Compact"/>
      </w:pPr>
      <w:r>
        <w:t xml:space="preserve">ข่าวประชาสัมพันธ์ที่อนุมัติแล้ว</w:t>
      </w:r>
    </w:p>
    <w:p>
      <w:pPr>
        <w:numPr>
          <w:ilvl w:val="0"/>
          <w:numId w:val="1007"/>
        </w:numPr>
        <w:pStyle w:val="Compact"/>
      </w:pPr>
      <w:r>
        <w:t xml:space="preserve">ข้อมูลผลิตภัณฑ์/บริการที่เผยแพร่บนเว็บไซต์</w:t>
      </w:r>
    </w:p>
    <w:p>
      <w:pPr>
        <w:numPr>
          <w:ilvl w:val="0"/>
          <w:numId w:val="1007"/>
        </w:numPr>
        <w:pStyle w:val="Compact"/>
      </w:pPr>
      <w:r>
        <w:t xml:space="preserve">ประกาศรับสมัครงานสาธารณะ</w:t>
      </w:r>
    </w:p>
    <w:p>
      <w:pPr>
        <w:numPr>
          <w:ilvl w:val="0"/>
          <w:numId w:val="1007"/>
        </w:numPr>
        <w:pStyle w:val="Compact"/>
      </w:pPr>
      <w:r>
        <w:t xml:space="preserve">เอกสารเผยแพร่ที่ผ่านการตรวจสอบจากหน่วยงานที่รับผิดชอบ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บทบาทและหนาท"/>
    <w:p>
      <w:pPr>
        <w:pStyle w:val="Heading2"/>
      </w:pPr>
      <w:r>
        <w:t xml:space="preserve">7. บทบาทและหน้าที่</w:t>
      </w:r>
    </w:p>
    <w:bookmarkStart w:id="32" w:name="เจาของขอมล-data-owner"/>
    <w:p>
      <w:pPr>
        <w:pStyle w:val="Heading3"/>
      </w:pPr>
      <w:r>
        <w:t xml:space="preserve">7.1 เจ้าของข้อมูล (Data Owner)</w:t>
      </w:r>
    </w:p>
    <w:p>
      <w:pPr>
        <w:numPr>
          <w:ilvl w:val="0"/>
          <w:numId w:val="1008"/>
        </w:numPr>
        <w:pStyle w:val="Compact"/>
      </w:pPr>
      <w:r>
        <w:t xml:space="preserve">กำหนดและอนุมัติระดับการจัดประเภทของชุดข้อมูลในความรับผิดชอบ</w:t>
      </w:r>
    </w:p>
    <w:p>
      <w:pPr>
        <w:numPr>
          <w:ilvl w:val="0"/>
          <w:numId w:val="1008"/>
        </w:numPr>
        <w:pStyle w:val="Compact"/>
      </w:pPr>
      <w:r>
        <w:t xml:space="preserve">อนุมัติสิทธิ์การเข้าถึงตาม Need-to-Know</w:t>
      </w:r>
    </w:p>
    <w:p>
      <w:pPr>
        <w:numPr>
          <w:ilvl w:val="0"/>
          <w:numId w:val="1008"/>
        </w:numPr>
        <w:pStyle w:val="Compact"/>
      </w:pPr>
      <w:r>
        <w:t xml:space="preserve">ทบทวนการจัดประเภทอย่างน้อยปีละ 1 ครั้ง หรือเมื่อข้อมูลเปลี่ยนบริบท</w:t>
      </w:r>
    </w:p>
    <w:p>
      <w:pPr>
        <w:numPr>
          <w:ilvl w:val="0"/>
          <w:numId w:val="1008"/>
        </w:numPr>
        <w:pStyle w:val="Compact"/>
      </w:pPr>
      <w:r>
        <w:t xml:space="preserve">ประสานงานเมื่อเกิดเหตุรั่วไหลหรือมีคำขอใช้สิทธิของเจ้าของข้อมูลส่วนบุคคล</w:t>
      </w:r>
    </w:p>
    <w:bookmarkEnd w:id="32"/>
    <w:bookmarkStart w:id="33" w:name="ผดแลขอมล-data-custodian"/>
    <w:p>
      <w:pPr>
        <w:pStyle w:val="Heading3"/>
      </w:pPr>
      <w:r>
        <w:t xml:space="preserve">7.2 ผู้ดูแลข้อมูล (Data Custodian)</w:t>
      </w:r>
    </w:p>
    <w:p>
      <w:pPr>
        <w:numPr>
          <w:ilvl w:val="0"/>
          <w:numId w:val="1009"/>
        </w:numPr>
        <w:pStyle w:val="Compact"/>
      </w:pPr>
      <w:r>
        <w:t xml:space="preserve">จัดเก็บ สำรอง เข้ารหัส และควบคุมการเข้าถึงตามระดับที่กำหนด</w:t>
      </w:r>
    </w:p>
    <w:p>
      <w:pPr>
        <w:numPr>
          <w:ilvl w:val="0"/>
          <w:numId w:val="1009"/>
        </w:numPr>
        <w:pStyle w:val="Compact"/>
      </w:pPr>
      <w:r>
        <w:t xml:space="preserve">ดูแลการติดฉลาก (label) ในระบบและเอกสารตามที่ทำได้</w:t>
      </w:r>
    </w:p>
    <w:p>
      <w:pPr>
        <w:numPr>
          <w:ilvl w:val="0"/>
          <w:numId w:val="1009"/>
        </w:numPr>
        <w:pStyle w:val="Compact"/>
      </w:pPr>
      <w:r>
        <w:t xml:space="preserve">สนับสนุนการตรวจสอบ log และการกู้คืนข้อมูล</w:t>
      </w:r>
    </w:p>
    <w:bookmarkEnd w:id="33"/>
    <w:bookmarkStart w:id="34" w:name="ผใชขอมล-data-user"/>
    <w:p>
      <w:pPr>
        <w:pStyle w:val="Heading3"/>
      </w:pPr>
      <w:r>
        <w:t xml:space="preserve">7.3 ผู้ใช้ข้อมูล (Data User)</w:t>
      </w:r>
    </w:p>
    <w:p>
      <w:pPr>
        <w:numPr>
          <w:ilvl w:val="0"/>
          <w:numId w:val="1010"/>
        </w:numPr>
        <w:pStyle w:val="Compact"/>
      </w:pPr>
      <w:r>
        <w:t xml:space="preserve">ใช้ข้อมูลเฉพาะตามหน้าที่และวัตถุประสงค์ที่ได้รับอนุญาต</w:t>
      </w:r>
    </w:p>
    <w:p>
      <w:pPr>
        <w:numPr>
          <w:ilvl w:val="0"/>
          <w:numId w:val="1010"/>
        </w:numPr>
        <w:pStyle w:val="Compact"/>
      </w:pPr>
      <w:r>
        <w:t xml:space="preserve">ไม่ส่งต่อ เปิดเผย หรือจัดเก็บข้อมูลผิดระดับหรือผิดช่องทาง</w:t>
      </w:r>
    </w:p>
    <w:p>
      <w:pPr>
        <w:numPr>
          <w:ilvl w:val="0"/>
          <w:numId w:val="1010"/>
        </w:numPr>
        <w:pStyle w:val="Compact"/>
      </w:pPr>
      <w:r>
        <w:t xml:space="preserve">รายงานเหตุสงสัยว่าข้อมูลรั่วไหลหรือจัดประเภทผิด</w:t>
      </w:r>
    </w:p>
    <w:bookmarkEnd w:id="34"/>
    <w:bookmarkStart w:id="35" w:name="ฝาย-it-iso-dpo"/>
    <w:p>
      <w:pPr>
        <w:pStyle w:val="Heading3"/>
      </w:pPr>
      <w:r>
        <w:t xml:space="preserve">7.4 ฝ่าย IT / ISO / DPO</w:t>
      </w:r>
    </w:p>
    <w:p>
      <w:pPr>
        <w:numPr>
          <w:ilvl w:val="0"/>
          <w:numId w:val="1011"/>
        </w:numPr>
        <w:pStyle w:val="Compact"/>
      </w:pPr>
      <w:r>
        <w:t xml:space="preserve">กำหนดเครื่องมือ มาตรฐานเทคนิค และแนวปฏิบัติสนับสนุน</w:t>
      </w:r>
    </w:p>
    <w:p>
      <w:pPr>
        <w:numPr>
          <w:ilvl w:val="0"/>
          <w:numId w:val="1011"/>
        </w:numPr>
        <w:pStyle w:val="Compact"/>
      </w:pPr>
      <w:r>
        <w:t xml:space="preserve">ให้คำปรึกษาการจัดประเภทและการคุ้มครองข้อมูลส่วนบุคคล</w:t>
      </w:r>
    </w:p>
    <w:p>
      <w:pPr>
        <w:numPr>
          <w:ilvl w:val="0"/>
          <w:numId w:val="1011"/>
        </w:numPr>
        <w:pStyle w:val="Compact"/>
      </w:pPr>
      <w:r>
        <w:t xml:space="preserve">ตรวจสอบการปฏิบัติตามมาตรฐานเป็นระยะ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การตดฉลากและการระบระดบ-labeling"/>
    <w:p>
      <w:pPr>
        <w:pStyle w:val="Heading2"/>
      </w:pPr>
      <w:r>
        <w:t xml:space="preserve">8. การติดฉลากและการระบุระดับ (Labeling)</w:t>
      </w:r>
    </w:p>
    <w:p>
      <w:pPr>
        <w:numPr>
          <w:ilvl w:val="0"/>
          <w:numId w:val="1012"/>
        </w:numPr>
        <w:pStyle w:val="Compact"/>
      </w:pPr>
      <w:r>
        <w:t xml:space="preserve">เอกสารและไฟล์ระดับ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ลับที่สุด</w:t>
      </w:r>
      <w:r>
        <w:t xml:space="preserve"> </w:t>
      </w:r>
      <w:r>
        <w:t xml:space="preserve">ต้องระบุระดับความลับให้เห็นชัดในหัวเอกสาร ส่วนท้าย หรือ metadata</w:t>
      </w:r>
    </w:p>
    <w:p>
      <w:pPr>
        <w:numPr>
          <w:ilvl w:val="0"/>
          <w:numId w:val="1012"/>
        </w:numPr>
        <w:pStyle w:val="Compact"/>
      </w:pPr>
      <w:r>
        <w:t xml:space="preserve">อีเมลที่มีข้อมูลระดับลับขึ้นไป ควรระบุระดับในหัวข้อหรือเนื้อหา เช่น</w:t>
      </w:r>
      <w:r>
        <w:t xml:space="preserve"> </w:t>
      </w:r>
      <w:r>
        <w:rPr>
          <w:rStyle w:val="VerbatimChar"/>
        </w:rPr>
        <w:t xml:space="preserve">[ลับ]</w:t>
      </w:r>
      <w:r>
        <w:t xml:space="preserve"> </w:t>
      </w:r>
      <w:r>
        <w:rPr>
          <w:rStyle w:val="VerbatimChar"/>
        </w:rPr>
        <w:t xml:space="preserve">[ลับที่สุด]</w:t>
      </w:r>
    </w:p>
    <w:p>
      <w:pPr>
        <w:numPr>
          <w:ilvl w:val="0"/>
          <w:numId w:val="1012"/>
        </w:numPr>
        <w:pStyle w:val="Compact"/>
      </w:pPr>
      <w:r>
        <w:t xml:space="preserve">ระบบที่รองรับ sensitivity label / classification tag ต้องใช้ป้ายกำกับให้สอดคล้องกับมาตรฐานนี้</w:t>
      </w:r>
    </w:p>
    <w:p>
      <w:pPr>
        <w:numPr>
          <w:ilvl w:val="0"/>
          <w:numId w:val="1012"/>
        </w:numPr>
        <w:pStyle w:val="Compact"/>
      </w:pPr>
      <w:r>
        <w:t xml:space="preserve">เอกสารสาธารณะไม่จำเป็นต้องติดฉลาก แต่ต้องผ่านการอนุมัติเผยแพร่ก่อน</w:t>
      </w:r>
    </w:p>
    <w:p>
      <w:pPr>
        <w:numPr>
          <w:ilvl w:val="0"/>
          <w:numId w:val="1012"/>
        </w:numPr>
        <w:pStyle w:val="Compact"/>
      </w:pPr>
      <w:r>
        <w:t xml:space="preserve">หากไม่แน่ใจระดับ ให้จัดเป็น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ไว้ก่อน จนกว่าเจ้าของข้อมูลจะยืนยัน</w:t>
      </w:r>
    </w:p>
    <w:p>
      <w:r>
        <w:pict>
          <v:rect style="width:0;height:1.5pt" o:hralign="center" o:hrstd="t" o:hr="t"/>
        </w:pict>
      </w:r>
    </w:p>
    <w:bookmarkEnd w:id="37"/>
    <w:bookmarkStart w:id="42" w:name="แนวทางการจดการตามระดบ-handling-rules"/>
    <w:p>
      <w:pPr>
        <w:pStyle w:val="Heading2"/>
      </w:pPr>
      <w:r>
        <w:t xml:space="preserve">9. แนวทางการจัดการตามระดับ (Handling Rules)</w:t>
      </w:r>
    </w:p>
    <w:bookmarkStart w:id="38" w:name="สรปมาตรการตามระดบ"/>
    <w:p>
      <w:pPr>
        <w:pStyle w:val="Heading3"/>
      </w:pPr>
      <w:r>
        <w:t xml:space="preserve">9.1 สรุปมาตรการตามระดับ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697"/>
        <w:gridCol w:w="1508"/>
        <w:gridCol w:w="1131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สาธารณะ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ลับที่สุด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การเข้าถึง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พนักงาน/ผู้ได้รับอนุญาต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Need-to-Know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Need-to-Know เข้มงวด + อนุมัติเจ้าของข้อมูล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การจัดเก็บ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ตามความเหมาะสม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ระบบองค์กรที่ควบคุมสิทธิ์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ระบบควบคุมสิทธิ์ + เข้ารหัส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การส่งผ่าน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ไม่จำกัดพิเศษ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ช่องทางเข้ารหัสที่อนุมัติ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ช่องทางเข้ารหัสที่อนุมัติ + จำกัดผู้รับ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การแชร์ภายนอก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โดยหลักแล้วไม่ได้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ต้องมีสัญญา/อนุมัติ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โดยหลักแล้วห้าม เว้นแต่จำเป็นและอนุมัติสูง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การพิมพ์/สำเนา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ได้ตามงาน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จำกัดและควบคุมสำเนา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ห้ามเว้นแต่จำเป็นและบันทึก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การทำลาย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ตามปกติ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ทำลายเมื่อหมดอายุใช้งาน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ทำลายเชิงความปลอดภัย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ทำลายเชิงความปลอดภัยและบันทึก</w:t>
            </w:r>
          </w:p>
        </w:tc>
      </w:tr>
    </w:tbl>
    <w:bookmarkEnd w:id="38"/>
    <w:bookmarkStart w:id="39" w:name="รายละเอยดการจดเกบ"/>
    <w:p>
      <w:pPr>
        <w:pStyle w:val="Heading3"/>
      </w:pPr>
      <w:r>
        <w:t xml:space="preserve">9.2 รายละเอียดการจัดเก็บ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สาธารณะ / ภายใน</w:t>
      </w:r>
      <w:r>
        <w:t xml:space="preserve"> </w:t>
      </w:r>
      <w:r>
        <w:t xml:space="preserve">— เก็บในที่เก็บขององค์กรที่ได้รับอนุญาต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ลับ</w:t>
      </w:r>
      <w:r>
        <w:t xml:space="preserve"> </w:t>
      </w:r>
      <w:r>
        <w:t xml:space="preserve">— เก็บในระบบที่มีการควบคุมสิทธิ์ แนะนำเข้ารหัสขณะจัดเก็บ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ลับที่สุด</w:t>
      </w:r>
      <w:r>
        <w:t xml:space="preserve"> </w:t>
      </w:r>
      <w:r>
        <w:t xml:space="preserve">— ต้องเข้ารหัสขณะจัดเก็บและจำกัดสิทธิ์เฉพาะรายที่ได้รับอนุมัติ มีบันทึกการเข้าถึงตามความเหมาะสม</w:t>
      </w:r>
    </w:p>
    <w:p>
      <w:pPr>
        <w:numPr>
          <w:ilvl w:val="0"/>
          <w:numId w:val="1013"/>
        </w:numPr>
        <w:pStyle w:val="Compact"/>
      </w:pPr>
      <w:r>
        <w:t xml:space="preserve">ห้ามเก็บข้อมูลระดับลับขึ้นไปใน USB ส่วนตัว อีเมลส่วนตัว คลาวด์ส่วนบุคคล หรือเครื่องที่ไม่ได้เข้ารหัสโดยไม่ได้รับอนุมัติ</w:t>
      </w:r>
    </w:p>
    <w:bookmarkEnd w:id="39"/>
    <w:bookmarkStart w:id="40" w:name="รายละเอยดการสงผานและแบงปน"/>
    <w:p>
      <w:pPr>
        <w:pStyle w:val="Heading3"/>
      </w:pPr>
      <w:r>
        <w:t xml:space="preserve">9.3 รายละเอียดการส่งผ่านและแบ่งปัน</w:t>
      </w:r>
    </w:p>
    <w:p>
      <w:pPr>
        <w:numPr>
          <w:ilvl w:val="0"/>
          <w:numId w:val="1014"/>
        </w:numPr>
        <w:pStyle w:val="Compact"/>
      </w:pPr>
      <w:r>
        <w:t xml:space="preserve">ใช้ช่องทางที่องค์กรอนุมัติเท่านั้นสำหรับข้อมูลระดับภายในขึ้นไป</w:t>
      </w:r>
    </w:p>
    <w:p>
      <w:pPr>
        <w:numPr>
          <w:ilvl w:val="0"/>
          <w:numId w:val="1014"/>
        </w:numPr>
        <w:pStyle w:val="Compact"/>
      </w:pPr>
      <w:r>
        <w:t xml:space="preserve">ข้อมูลระดับลับขึ้นไปต้องส่งผ่านช่องทางเข้ารหัส เช่น HTTPS, SFTP, อีเมลที่เข้ารหัส หรือลิงก์จากระบบแชร์ไฟล์ที่ควบคุมสิทธิ์</w:t>
      </w:r>
    </w:p>
    <w:p>
      <w:pPr>
        <w:numPr>
          <w:ilvl w:val="0"/>
          <w:numId w:val="1014"/>
        </w:numPr>
        <w:pStyle w:val="Compact"/>
      </w:pPr>
      <w:r>
        <w:t xml:space="preserve">ก่อนส่งภายนอก ต้องตรวจสอบผู้รับ วัตถุประสงค์ และระดับการอนุมัติ</w:t>
      </w:r>
    </w:p>
    <w:p>
      <w:pPr>
        <w:numPr>
          <w:ilvl w:val="0"/>
          <w:numId w:val="1014"/>
        </w:numPr>
        <w:pStyle w:val="Compact"/>
      </w:pPr>
      <w:r>
        <w:t xml:space="preserve">ห้ามโพสต์ข้อมูลระดับภายในขึ้นไปบนโซเชียลมีเดียหรือฟอรัมสาธารณะ</w:t>
      </w:r>
    </w:p>
    <w:p>
      <w:pPr>
        <w:numPr>
          <w:ilvl w:val="0"/>
          <w:numId w:val="1014"/>
        </w:numPr>
        <w:pStyle w:val="Compact"/>
      </w:pPr>
      <w:r>
        <w:t xml:space="preserve">ห้ามป้อนข้อมูลระดับลับขึ้นไปเข้าเครื่องมือ AI / แชทบอทสาธารณะที่องค์กรไม่อนุมัติ</w:t>
      </w:r>
    </w:p>
    <w:bookmarkEnd w:id="40"/>
    <w:bookmarkStart w:id="41" w:name="การใชงานบนอปกรณและพนททำงาน"/>
    <w:p>
      <w:pPr>
        <w:pStyle w:val="Heading3"/>
      </w:pPr>
      <w:r>
        <w:t xml:space="preserve">9.4 การใช้งานบนอุปกรณ์และพื้นที่ทำงาน</w:t>
      </w:r>
    </w:p>
    <w:p>
      <w:pPr>
        <w:numPr>
          <w:ilvl w:val="0"/>
          <w:numId w:val="1015"/>
        </w:numPr>
        <w:pStyle w:val="Compact"/>
      </w:pPr>
      <w:r>
        <w:t xml:space="preserve">เปิดหน้าจอข้อมูลลับเมื่อมีผู้ไม่เกี่ยวข้องอยู่ใกล้ ควรใช้ privacy screen หรือหลีกเลี่ยงการเปิดเผย</w:t>
      </w:r>
    </w:p>
    <w:p>
      <w:pPr>
        <w:numPr>
          <w:ilvl w:val="0"/>
          <w:numId w:val="1015"/>
        </w:numPr>
        <w:pStyle w:val="Compact"/>
      </w:pPr>
      <w:r>
        <w:t xml:space="preserve">ล็อกเครื่องทุกครั้งที่ไม่อยู่หน้าจอ</w:t>
      </w:r>
    </w:p>
    <w:p>
      <w:pPr>
        <w:numPr>
          <w:ilvl w:val="0"/>
          <w:numId w:val="1015"/>
        </w:numPr>
        <w:pStyle w:val="Compact"/>
      </w:pPr>
      <w:r>
        <w:t xml:space="preserve">เอกสารกระดาษระดับลับขึ้นไปต้องไม่ทิ้งไว้บนโต๊ะโดยไม่มีผู้ดูแล และเก็บในตู้ที่ล็อกได้</w:t>
      </w:r>
    </w:p>
    <w:p>
      <w:pPr>
        <w:numPr>
          <w:ilvl w:val="0"/>
          <w:numId w:val="1015"/>
        </w:numPr>
        <w:pStyle w:val="Compact"/>
      </w:pPr>
      <w:r>
        <w:t xml:space="preserve">เมื่อทำงานนอกสถานที่ ต้องระวังการมองข้ามไหล่และการเชื่อมต่อเครือข่ายที่ไม่ปลอดภัย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ขอมลสวนบคคลและ-pdpa"/>
    <w:p>
      <w:pPr>
        <w:pStyle w:val="Heading2"/>
      </w:pPr>
      <w:r>
        <w:t xml:space="preserve">10. ข้อมูลส่วนบุคคลและ PDPA</w:t>
      </w:r>
    </w:p>
    <w:p>
      <w:pPr>
        <w:numPr>
          <w:ilvl w:val="0"/>
          <w:numId w:val="1016"/>
        </w:numPr>
        <w:pStyle w:val="Compact"/>
      </w:pPr>
      <w:r>
        <w:t xml:space="preserve">ข้อมูลส่วนบุคคลอย่างน้อยต้องจัดเป็นระดับ</w:t>
      </w:r>
      <w:r>
        <w:t xml:space="preserve"> </w:t>
      </w:r>
      <w:r>
        <w:rPr>
          <w:bCs/>
          <w:b/>
        </w:rPr>
        <w:t xml:space="preserve">ลับ</w:t>
      </w:r>
    </w:p>
    <w:p>
      <w:pPr>
        <w:numPr>
          <w:ilvl w:val="0"/>
          <w:numId w:val="1016"/>
        </w:numPr>
        <w:pStyle w:val="Compact"/>
      </w:pPr>
      <w:r>
        <w:t xml:space="preserve">ข้อมูลส่วนบุคคลอ่อนไหวต้องจัดเป็นระดับ</w:t>
      </w:r>
      <w:r>
        <w:t xml:space="preserve"> </w:t>
      </w:r>
      <w:r>
        <w:rPr>
          <w:bCs/>
          <w:b/>
        </w:rPr>
        <w:t xml:space="preserve">ลับที่สุด</w:t>
      </w:r>
    </w:p>
    <w:p>
      <w:pPr>
        <w:numPr>
          <w:ilvl w:val="0"/>
          <w:numId w:val="1016"/>
        </w:numPr>
        <w:pStyle w:val="Compact"/>
      </w:pPr>
      <w:r>
        <w:t xml:space="preserve">เก็บ ใช้ เปิดเผยเท่าที่จำเป็นตามวัตถุประสงค์ที่ชอบด้วยกฎหมาย</w:t>
      </w:r>
    </w:p>
    <w:p>
      <w:pPr>
        <w:numPr>
          <w:ilvl w:val="0"/>
          <w:numId w:val="1016"/>
        </w:numPr>
        <w:pStyle w:val="Compact"/>
      </w:pPr>
      <w:r>
        <w:t xml:space="preserve">หากใช้ข้อมูลส่วนบุคคลในสภาพแวดล้อมทดสอบ/พัฒนา ต้องทำ anonymization หรือ masking ให้เหมาะสมก่อน</w:t>
      </w:r>
    </w:p>
    <w:p>
      <w:pPr>
        <w:numPr>
          <w:ilvl w:val="0"/>
          <w:numId w:val="1016"/>
        </w:numPr>
        <w:pStyle w:val="Compact"/>
      </w:pPr>
      <w:r>
        <w:t xml:space="preserve">เมื่อเกิดเหตุละเมิดข้อมูลส่วนบุคคล ให้แจ้ง DPO / ช่องทางที่กำหนดทันที เพื่อประเมินการแจ้งตามกฎหมาย</w:t>
      </w:r>
    </w:p>
    <w:p>
      <w:r>
        <w:pict>
          <v:rect style="width:0;height:1.5pt" o:hralign="center" o:hrstd="t" o:hr="t"/>
        </w:pict>
      </w:r>
    </w:p>
    <w:bookmarkEnd w:id="43"/>
    <w:bookmarkStart w:id="45" w:name="วงจรชวตขอมล-data-lifecycle"/>
    <w:p>
      <w:pPr>
        <w:pStyle w:val="Heading2"/>
      </w:pPr>
      <w:r>
        <w:t xml:space="preserve">11. วงจรชีวิตข้อมูล (Data Lifecycle)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ข้อกำหนดหลัก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สร้าง/รับข้อมูล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จัดประเภททันทีหรือภายในระยะเวลาที่กำหนด และระบุเจ้าของข้อมูล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จัดเก็บ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ใช้ที่เก็บตามระดับ พร้อมสิทธิ์และการเข้ารหัสที่เหมาะสม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ใช้/ประมวลผล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ใช้ตามวัตถุประสงค์และสิทธิ์ที่ได้รับ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แบ่งปัน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ตรวจระดับ ผู้รับ ช่องทาง และการอนุมัติ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โอนย้าย/ส่งออก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ประเมินความเสี่ยงและข้อกฎหมายก่อนโอน โดยเฉพาะการโอนข้ามประเทศ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เก็บรักษา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เก็บเท่าที่จำเป็นตามกฎหมาย นโยบาย หรือสัญญา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ทำลาย/ทำให้หมดสภาพ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ทำลายตามระดับความลับ และบันทึกเมื่อเป็นข้อมูลระดับลับที่สุด</w:t>
            </w:r>
          </w:p>
        </w:tc>
      </w:tr>
    </w:tbl>
    <w:bookmarkStart w:id="44" w:name="แนวทางการทำลายขอมล"/>
    <w:p>
      <w:pPr>
        <w:pStyle w:val="Heading3"/>
      </w:pPr>
      <w:r>
        <w:t xml:space="preserve">11.1 แนวทางการทำลายข้อมูล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ไฟล์อิเล็กทรอนิกส์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ลบอย่างปลอดภัยหรือทำ cryptographic erase ตามที่ระบบรองรับ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ฮาร์ดดิสก์/SSD ที่เลิกใช้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ล้างข้อมูลตามมาตรฐาน หรือทำลายสื่อเมื่อจำเป็น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กระดาษ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ใช้เครื่องทำลายเอกสารระดับที่เหมาะสม หรือบริการทำลายที่ได้ใบรับรอง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สื่อสำรอง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ควบคุมและทำลายตามรอบอายุของข้อมูลต้นทาง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การจดประเภทในระบบและโครงการ"/>
    <w:p>
      <w:pPr>
        <w:pStyle w:val="Heading2"/>
      </w:pPr>
      <w:r>
        <w:t xml:space="preserve">12. การจัดประเภทในระบบและโครงการ</w:t>
      </w:r>
    </w:p>
    <w:p>
      <w:pPr>
        <w:numPr>
          <w:ilvl w:val="0"/>
          <w:numId w:val="1017"/>
        </w:numPr>
        <w:pStyle w:val="Compact"/>
      </w:pPr>
      <w:r>
        <w:t xml:space="preserve">ระบบใหม่ต้องระบุประเภทข้อมูลที่ประมวลผลตั้งแต่ขั้นตอนออกแบบ</w:t>
      </w:r>
    </w:p>
    <w:p>
      <w:pPr>
        <w:numPr>
          <w:ilvl w:val="0"/>
          <w:numId w:val="1017"/>
        </w:numPr>
        <w:pStyle w:val="Compact"/>
      </w:pPr>
      <w:r>
        <w:t xml:space="preserve">บันทึก data inventory / data asset register สำหรับชุดข้อมูลสำคัญ อย่างน้อยระบุ: ชื่อชุดข้อมูล เจ้าของข้อมูล ระดับ ตำแหน่งจัดเก็บ ผู้มีสิทธิ์ และระยะเวลาเก็บรักษา</w:t>
      </w:r>
    </w:p>
    <w:p>
      <w:pPr>
        <w:numPr>
          <w:ilvl w:val="0"/>
          <w:numId w:val="1017"/>
        </w:numPr>
        <w:pStyle w:val="Compact"/>
      </w:pPr>
      <w:r>
        <w:t xml:space="preserve">ก่อนเชื่อมต่อกับผู้ให้บริการภายนอก ต้องประเมินว่าข้อมูลระดับใดจะถูกประมวลผล และกำหนดข้อสัญญาให้สอดคล้อง</w:t>
      </w:r>
    </w:p>
    <w:p>
      <w:pPr>
        <w:numPr>
          <w:ilvl w:val="0"/>
          <w:numId w:val="1017"/>
        </w:numPr>
        <w:pStyle w:val="Compact"/>
      </w:pPr>
      <w:r>
        <w:t xml:space="preserve">หากพบว่าจัดประเภทต่ำเกินไป ให้ยกระดับทันทีและปรับสิทธิ์/มาตรการตามระดับใหม่</w:t>
      </w:r>
    </w:p>
    <w:p>
      <w:r>
        <w:pict>
          <v:rect style="width:0;height:1.5pt" o:hralign="center" o:hrstd="t" o:hr="t"/>
        </w:pict>
      </w:r>
    </w:p>
    <w:bookmarkEnd w:id="46"/>
    <w:bookmarkStart w:id="47" w:name="การขอยกเวน"/>
    <w:p>
      <w:pPr>
        <w:pStyle w:val="Heading2"/>
      </w:pPr>
      <w:r>
        <w:t xml:space="preserve">13. การขอยกเว้น</w:t>
      </w:r>
    </w:p>
    <w:p>
      <w:pPr>
        <w:numPr>
          <w:ilvl w:val="0"/>
          <w:numId w:val="1018"/>
        </w:numPr>
        <w:pStyle w:val="Compact"/>
      </w:pPr>
      <w:r>
        <w:t xml:space="preserve">การขอยกเว้นจากมาตรฐานนี้ต้องระบุเหตุผล ระยะเวลา มาตรการชดเชย และผู้รับผิดชอบ</w:t>
      </w:r>
    </w:p>
    <w:p>
      <w:pPr>
        <w:numPr>
          <w:ilvl w:val="0"/>
          <w:numId w:val="1018"/>
        </w:numPr>
        <w:pStyle w:val="Compact"/>
      </w:pPr>
      <w:r>
        <w:t xml:space="preserve">ต้องได้รับอนุมัติจากเจ้าของข้อมูลและ ISO / ผู้จัดการฝ่าย IT</w:t>
      </w:r>
    </w:p>
    <w:p>
      <w:pPr>
        <w:numPr>
          <w:ilvl w:val="0"/>
          <w:numId w:val="1018"/>
        </w:numPr>
        <w:pStyle w:val="Compact"/>
      </w:pPr>
      <w:r>
        <w:t xml:space="preserve">ทบทวนการยกเว้นอย่างน้อยทุก</w:t>
      </w:r>
      <w:r>
        <w:t xml:space="preserve"> </w:t>
      </w:r>
      <w:r>
        <w:rPr>
          <w:bCs/>
          <w:b/>
        </w:rPr>
        <w:t xml:space="preserve">90 วัน</w:t>
      </w:r>
    </w:p>
    <w:p>
      <w:r>
        <w:pict>
          <v:rect style="width:0;height:1.5pt" o:hralign="center" o:hrstd="t" o:hr="t"/>
        </w:pict>
      </w:r>
    </w:p>
    <w:bookmarkEnd w:id="47"/>
    <w:bookmarkStart w:id="48" w:name="การตรวจสอบและการวดผล"/>
    <w:p>
      <w:pPr>
        <w:pStyle w:val="Heading2"/>
      </w:pPr>
      <w:r>
        <w:t xml:space="preserve">14. การตรวจสอบและการวัดผล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ชุดข้อมูลสำคัญที่มีเจ้าของข้อมูลชัดเจน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ของชุดข้อมูลในทะเบียน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เอกสาร/ระบบสำคัญที่มีป้ายระดับความลับ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เพิ่มขึ้นต่อเนื่องจนครอบคลุมครบ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เหตุการณ์แบ่งปันข้อมูลผิดระดับ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ลดลง และมี 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การใช้ข้อมูลส่วนบุคคลในระบบทดสอบโดยไม่ masking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รายการที่ไม่ได้รับอนุมัติ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การบงคบใช"/>
    <w:p>
      <w:pPr>
        <w:pStyle w:val="Heading2"/>
      </w:pPr>
      <w:r>
        <w:t xml:space="preserve">15. การบังคับใช้</w:t>
      </w:r>
    </w:p>
    <w:p>
      <w:pPr>
        <w:pStyle w:val="FirstParagraph"/>
      </w:pPr>
      <w:r>
        <w:t xml:space="preserve">การฝ่าฝืนมาตรฐานนี้อาจถูกระงับสิทธิ์การเข้าถึงข้อมูล ดำเนินการทางวินัยตามระเบียบองค์กร และ/หรือดำเนินการตามกฎหมาย โดยเฉพาะกรณีจงใจเปิดเผยข้อมูลระดับลับ/ลับที่สุด หรือนำข้อมูลส่วนบุคคลไปใช้ผิดวัตถุประสงค์</w:t>
      </w:r>
    </w:p>
    <w:p>
      <w:r>
        <w:pict>
          <v:rect style="width:0;height:1.5pt" o:hralign="center" o:hrstd="t" o:hr="t"/>
        </w:pict>
      </w:r>
    </w:p>
    <w:bookmarkEnd w:id="49"/>
    <w:bookmarkStart w:id="50" w:name="เอกสารอางอง"/>
    <w:p>
      <w:pPr>
        <w:pStyle w:val="Heading2"/>
      </w:pPr>
      <w:r>
        <w:t xml:space="preserve">16. เอกสารอ้างอิง</w:t>
      </w:r>
    </w:p>
    <w:p>
      <w:pPr>
        <w:numPr>
          <w:ilvl w:val="0"/>
          <w:numId w:val="101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19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19"/>
        </w:numPr>
        <w:pStyle w:val="Compact"/>
      </w:pPr>
      <w:r>
        <w:t xml:space="preserve">ISO/IEC 27001:2022 / ISO/IEC 27002:2022</w:t>
      </w:r>
    </w:p>
    <w:p>
      <w:pPr>
        <w:numPr>
          <w:ilvl w:val="0"/>
          <w:numId w:val="1019"/>
        </w:numPr>
        <w:pStyle w:val="Compact"/>
      </w:pPr>
      <w:r>
        <w:t xml:space="preserve">พ.ร.บ.คุ้มครองข้อมูลส่วนบุคคล พ.ศ. 2562</w:t>
      </w:r>
    </w:p>
    <w:p>
      <w:pPr>
        <w:numPr>
          <w:ilvl w:val="0"/>
          <w:numId w:val="1019"/>
        </w:numPr>
        <w:pStyle w:val="Compact"/>
      </w:pPr>
      <w:r>
        <w:t xml:space="preserve">พ.ร.บ.การรักษาความมั่นคงปลอดภัยไซเบอร์ พ.ศ. 2562</w:t>
      </w:r>
    </w:p>
    <w:p>
      <w:r>
        <w:pict>
          <v:rect style="width:0;height:1.5pt" o:hralign="center" o:hrstd="t" o:hr="t"/>
        </w:pict>
      </w:r>
    </w:p>
    <w:bookmarkEnd w:id="50"/>
    <w:bookmarkStart w:id="51" w:name="ประวตการปรบปรงเอกสาร"/>
    <w:p>
      <w:pPr>
        <w:pStyle w:val="Heading2"/>
      </w:pPr>
      <w:r>
        <w:t xml:space="preserve">17.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ภาคผนวก-ก-แผนผงตดสนใจอยางยอ"/>
    <w:p>
      <w:pPr>
        <w:pStyle w:val="Heading2"/>
      </w:pPr>
      <w:r>
        <w:t xml:space="preserve">18. ภาคผนวก ก — แผนผังตัดสินใจอย่างย่อ</w:t>
      </w:r>
    </w:p>
    <w:p>
      <w:pPr>
        <w:numPr>
          <w:ilvl w:val="0"/>
          <w:numId w:val="1020"/>
        </w:numPr>
        <w:pStyle w:val="Compact"/>
      </w:pPr>
      <w:r>
        <w:t xml:space="preserve">ข้อมูลตั้งใจเผยแพร่สาธารณะและผ่านการอนุมัติแล้วหรือไม่</w:t>
      </w:r>
    </w:p>
    <w:p>
      <w:pPr>
        <w:numPr>
          <w:ilvl w:val="1"/>
          <w:numId w:val="1021"/>
        </w:numPr>
        <w:pStyle w:val="Compact"/>
      </w:pPr>
      <w:r>
        <w:t xml:space="preserve">ใช่ →</w:t>
      </w:r>
      <w:r>
        <w:t xml:space="preserve"> </w:t>
      </w:r>
      <w:r>
        <w:rPr>
          <w:bCs/>
          <w:b/>
        </w:rPr>
        <w:t xml:space="preserve">สาธารณะ</w:t>
      </w:r>
    </w:p>
    <w:p>
      <w:pPr>
        <w:numPr>
          <w:ilvl w:val="0"/>
          <w:numId w:val="1020"/>
        </w:numPr>
        <w:pStyle w:val="Compact"/>
      </w:pPr>
      <w:r>
        <w:t xml:space="preserve">เป็นข้อมูลส่วนบุคคลอ่อนไหว คีย์ความปลอดภัย หรือข้อมูลที่รั่วแล้วเสียหายรุนแรงหรือไม่</w:t>
      </w:r>
    </w:p>
    <w:p>
      <w:pPr>
        <w:numPr>
          <w:ilvl w:val="1"/>
          <w:numId w:val="1022"/>
        </w:numPr>
        <w:pStyle w:val="Compact"/>
      </w:pPr>
      <w:r>
        <w:t xml:space="preserve">ใช่ →</w:t>
      </w:r>
      <w:r>
        <w:t xml:space="preserve"> </w:t>
      </w:r>
      <w:r>
        <w:rPr>
          <w:bCs/>
          <w:b/>
        </w:rPr>
        <w:t xml:space="preserve">ลับที่สุด</w:t>
      </w:r>
    </w:p>
    <w:p>
      <w:pPr>
        <w:numPr>
          <w:ilvl w:val="0"/>
          <w:numId w:val="1020"/>
        </w:numPr>
        <w:pStyle w:val="Compact"/>
      </w:pPr>
      <w:r>
        <w:t xml:space="preserve">เป็นข้อมูลส่วนบุคคลทั่วไป สัญญา ข้อมูลธุรกิจที่ไม่สาธารณะ หรือไม่</w:t>
      </w:r>
    </w:p>
    <w:p>
      <w:pPr>
        <w:numPr>
          <w:ilvl w:val="1"/>
          <w:numId w:val="1023"/>
        </w:numPr>
        <w:pStyle w:val="Compact"/>
      </w:pPr>
      <w:r>
        <w:t xml:space="preserve">ใช่ →</w:t>
      </w:r>
      <w:r>
        <w:t xml:space="preserve"> </w:t>
      </w:r>
      <w:r>
        <w:rPr>
          <w:bCs/>
          <w:b/>
        </w:rPr>
        <w:t xml:space="preserve">ลับ</w:t>
      </w:r>
    </w:p>
    <w:p>
      <w:pPr>
        <w:numPr>
          <w:ilvl w:val="0"/>
          <w:numId w:val="1020"/>
        </w:numPr>
        <w:pStyle w:val="Compact"/>
      </w:pPr>
      <w:r>
        <w:t xml:space="preserve">ใช้ภายในองค์กรเป็นหลักหรือไม่</w:t>
      </w:r>
    </w:p>
    <w:p>
      <w:pPr>
        <w:numPr>
          <w:ilvl w:val="1"/>
          <w:numId w:val="1024"/>
        </w:numPr>
        <w:pStyle w:val="Compact"/>
      </w:pPr>
      <w:r>
        <w:t xml:space="preserve">ใช่ →</w:t>
      </w:r>
      <w:r>
        <w:t xml:space="preserve"> </w:t>
      </w:r>
      <w:r>
        <w:rPr>
          <w:bCs/>
          <w:b/>
        </w:rPr>
        <w:t xml:space="preserve">ภายใน</w:t>
      </w:r>
    </w:p>
    <w:p>
      <w:pPr>
        <w:numPr>
          <w:ilvl w:val="0"/>
          <w:numId w:val="1020"/>
        </w:numPr>
        <w:pStyle w:val="Compact"/>
      </w:pPr>
      <w:r>
        <w:t xml:space="preserve">หากยังไม่แน่ใจ → จัดเป็น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ชั่วคราว แล้วให้เจ้าของข้อมูลยืนยัน</w:t>
      </w:r>
    </w:p>
    <w:p>
      <w:r>
        <w:pict>
          <v:rect style="width:0;height:1.5pt" o:hralign="center" o:hrstd="t" o:hr="t"/>
        </w:pict>
      </w:r>
    </w:p>
    <w:bookmarkEnd w:id="52"/>
    <w:bookmarkStart w:id="53" w:name="ภาคผนวก-ข-รายการตรวจสอบสำหรบเจาของขอมล"/>
    <w:p>
      <w:pPr>
        <w:pStyle w:val="Heading2"/>
      </w:pPr>
      <w:r>
        <w:t xml:space="preserve">19. ภาคผนวก ข — รายการตรวจสอบสำหรับเจ้าของข้อมูล</w:t>
      </w:r>
    </w:p>
    <w:p>
      <w:pPr>
        <w:numPr>
          <w:ilvl w:val="0"/>
          <w:numId w:val="1025"/>
        </w:numPr>
        <w:pStyle w:val="Compact"/>
      </w:pPr>
      <w:r>
        <w:t xml:space="preserve">☐ ระบุชื่อชุดข้อมูลและวัตถุประสงค์การใช้งาน</w:t>
      </w:r>
    </w:p>
    <w:p>
      <w:pPr>
        <w:numPr>
          <w:ilvl w:val="0"/>
          <w:numId w:val="1025"/>
        </w:numPr>
        <w:pStyle w:val="Compact"/>
      </w:pPr>
      <w:r>
        <w:t xml:space="preserve">☐ กำหนดระดับการจัดประเภทแล้ว</w:t>
      </w:r>
    </w:p>
    <w:p>
      <w:pPr>
        <w:numPr>
          <w:ilvl w:val="0"/>
          <w:numId w:val="1025"/>
        </w:numPr>
        <w:pStyle w:val="Compact"/>
      </w:pPr>
      <w:r>
        <w:t xml:space="preserve">☐ ระบุผู้มีสิทธิ์เข้าถึงและหลัก Need-to-Know</w:t>
      </w:r>
    </w:p>
    <w:p>
      <w:pPr>
        <w:numPr>
          <w:ilvl w:val="0"/>
          <w:numId w:val="1025"/>
        </w:numPr>
        <w:pStyle w:val="Compact"/>
      </w:pPr>
      <w:r>
        <w:t xml:space="preserve">☐ กำหนดสถานที่จัดเก็บและช่องทางแบ่งปันที่อนุญาต</w:t>
      </w:r>
    </w:p>
    <w:p>
      <w:pPr>
        <w:numPr>
          <w:ilvl w:val="0"/>
          <w:numId w:val="1025"/>
        </w:numPr>
        <w:pStyle w:val="Compact"/>
      </w:pPr>
      <w:r>
        <w:t xml:space="preserve">☐ กำหนดระยะเวลาเก็บรักษาและวิธีทำลาย</w:t>
      </w:r>
    </w:p>
    <w:p>
      <w:pPr>
        <w:numPr>
          <w:ilvl w:val="0"/>
          <w:numId w:val="1025"/>
        </w:numPr>
        <w:pStyle w:val="Compact"/>
      </w:pPr>
      <w:r>
        <w:t xml:space="preserve">☐ หากมีข้อมูลส่วนบุคคล ประสาน DPO/แนวทาง PDPA แล้ว</w:t>
      </w:r>
    </w:p>
    <w:p>
      <w:pPr>
        <w:numPr>
          <w:ilvl w:val="0"/>
          <w:numId w:val="1025"/>
        </w:numPr>
        <w:pStyle w:val="Compact"/>
      </w:pPr>
      <w:r>
        <w:t xml:space="preserve">☐ ทบทวนระดับอย่างน้อยปีละ 1 ครั้ง</w:t>
      </w:r>
    </w:p>
    <w:p>
      <w:r>
        <w:pict>
          <v:rect style="width:0;height:1.5pt" o:hralign="center" o:hrstd="t" o:hr="t"/>
        </w:pict>
      </w:r>
    </w:p>
    <w:bookmarkEnd w:id="53"/>
    <w:bookmarkStart w:id="54" w:name="ภาคผนวก-ค-ตวอยางขอความตดฉลาก"/>
    <w:p>
      <w:pPr>
        <w:pStyle w:val="Heading2"/>
      </w:pPr>
      <w:r>
        <w:t xml:space="preserve">20. ภาคผนวก ค — ตัวอย่างข้อความติดฉลาก</w:t>
      </w:r>
    </w:p>
    <w:p>
      <w:pPr>
        <w:pStyle w:val="SourceCode"/>
      </w:pPr>
      <w:r>
        <w:rPr>
          <w:rStyle w:val="VerbatimChar"/>
        </w:rPr>
        <w:t xml:space="preserve">[สาธารณะ] เผยแพร่ได้</w:t>
      </w:r>
      <w:r>
        <w:br/>
      </w:r>
      <w:r>
        <w:rPr>
          <w:rStyle w:val="VerbatimChar"/>
        </w:rPr>
        <w:t xml:space="preserve">[ภายใน] สำหรับใช้ภายในองค์กรเท่านั้น</w:t>
      </w:r>
      <w:r>
        <w:br/>
      </w:r>
      <w:r>
        <w:rPr>
          <w:rStyle w:val="VerbatimChar"/>
        </w:rPr>
        <w:t xml:space="preserve">[ลับ] ห้ามเปิดเผยโดยไม่ได้รับอนุญาต — Need-to-Know</w:t>
      </w:r>
      <w:r>
        <w:br/>
      </w:r>
      <w:r>
        <w:rPr>
          <w:rStyle w:val="VerbatimChar"/>
        </w:rPr>
        <w:t xml:space="preserve">[ลับที่สุด] จำกัดสิทธิ์สูงสุด — ต้องได้รับอนุมัติจากเจ้าของข้อมูลก่อนเข้าถึงหรือส่งต่อ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