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t>Table 1: Sample and scoring environment by era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65"/>
        <w:gridCol w:w="1965"/>
        <w:gridCol w:w="1965"/>
      </w:tblGrid>
      <w:tr>
        <w:tc>
          <w:tcPr>
            <w:tcW w:type="dxa" w:w="317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B&amp;P sample</w:t>
            </w:r>
            <w:r>
              <w:br/>
            </w:r>
            <w:r>
              <w:rPr>
                <w:b w:val="0"/>
                <w:i w:val="0"/>
                <w:sz w:val="20"/>
              </w:rPr>
              <w:t>1993/94–2008/09</w:t>
            </w:r>
          </w:p>
        </w:tc>
        <w:tc>
          <w:tcPr>
            <w:tcW w:type="dxa" w:w="196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Post-B&amp;P</w:t>
            </w:r>
            <w:r>
              <w:br/>
            </w:r>
            <w:r>
              <w:rPr>
                <w:b w:val="0"/>
                <w:i w:val="0"/>
                <w:sz w:val="20"/>
              </w:rPr>
              <w:t>2009/10–2013/14</w:t>
            </w:r>
          </w:p>
        </w:tc>
        <w:tc>
          <w:tcPr>
            <w:tcW w:type="dxa" w:w="196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Three-point era</w:t>
            </w:r>
            <w:r>
              <w:br/>
            </w:r>
            <w:r>
              <w:rPr>
                <w:b w:val="0"/>
                <w:i w:val="0"/>
                <w:sz w:val="20"/>
              </w:rPr>
              <w:t>2014/15–2024/25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Games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17,816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5,691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12,723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Home team wins (%)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60.5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59.8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56.8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Three-point attempts (% of FGA)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18.8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23.5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36.3</w:t>
            </w:r>
          </w:p>
        </w:tc>
      </w:tr>
      <w:tr>
        <w:tc>
          <w:tcPr>
            <w:tcW w:type="dxa" w:w="317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SD of second-half margin (points)</w:t>
            </w:r>
          </w:p>
        </w:tc>
        <w:tc>
          <w:tcPr>
            <w:tcW w:type="dxa" w:w="196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9.69</w:t>
            </w:r>
          </w:p>
        </w:tc>
        <w:tc>
          <w:tcPr>
            <w:tcW w:type="dxa" w:w="196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9.81</w:t>
            </w:r>
          </w:p>
        </w:tc>
        <w:tc>
          <w:tcPr>
            <w:tcW w:type="dxa" w:w="196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10.63</w:t>
            </w:r>
          </w:p>
        </w:tc>
      </w:tr>
    </w:tbl>
    <w:p>
      <w:pPr>
        <w:spacing w:before="60" w:after="360" w:line="240" w:lineRule="auto"/>
      </w:pPr>
      <w:r>
        <w:rPr>
          <w:i/>
          <w:sz w:val="18"/>
        </w:rPr>
        <w:t xml:space="preserve">Notes: </w:t>
      </w:r>
      <w:r>
        <w:rPr>
          <w:sz w:val="18"/>
        </w:rPr>
        <w:t>Regular-season games from ESPN, excluding neutral-site games and games tied at halftime. Three-point attempts are both teams' three-point attempts as a share of all field-goal attempts (games with box-score data, about 97%). The SD of the second-half margin is computed for close games (halftime margin within ±10 points) and measures how noisy the end of a close game is.</w:t>
      </w:r>
    </w:p>
    <w:p>
      <w:pPr>
        <w:keepNext/>
      </w:pPr>
      <w:r>
        <w:t>Table 2: Home win rate when down by one vs. up by one point at halftime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65"/>
        <w:gridCol w:w="1965"/>
        <w:gridCol w:w="1965"/>
      </w:tblGrid>
      <w:tr>
        <w:tc>
          <w:tcPr>
            <w:tcW w:type="dxa" w:w="317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B&amp;P sample</w:t>
            </w:r>
            <w:r>
              <w:br/>
            </w:r>
            <w:r>
              <w:rPr>
                <w:b w:val="0"/>
                <w:i w:val="0"/>
                <w:sz w:val="20"/>
              </w:rPr>
              <w:t>1993/94–2008/09</w:t>
            </w:r>
          </w:p>
        </w:tc>
        <w:tc>
          <w:tcPr>
            <w:tcW w:type="dxa" w:w="196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Post-B&amp;P</w:t>
            </w:r>
            <w:r>
              <w:br/>
            </w:r>
            <w:r>
              <w:rPr>
                <w:b w:val="0"/>
                <w:i w:val="0"/>
                <w:sz w:val="20"/>
              </w:rPr>
              <w:t>2009/10–2013/14</w:t>
            </w:r>
          </w:p>
        </w:tc>
        <w:tc>
          <w:tcPr>
            <w:tcW w:type="dxa" w:w="196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Three-point era</w:t>
            </w:r>
            <w:r>
              <w:br/>
            </w:r>
            <w:r>
              <w:rPr>
                <w:b w:val="0"/>
                <w:i w:val="0"/>
                <w:sz w:val="20"/>
              </w:rPr>
              <w:t>2014/15–2024/25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Home team wins when down 1 (%)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57.9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54.7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52.0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Home team wins when up 1 (%)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57.3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55.5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60.1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Difference, down 1 − up 1 (pp)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0.6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−0.8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−8.2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Games down 1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734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236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460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Games up 1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757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227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469</w:t>
            </w:r>
          </w:p>
        </w:tc>
      </w:tr>
      <w:tr>
        <w:tc>
          <w:tcPr>
            <w:tcW w:type="dxa" w:w="317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Share of ±1 games at −1</w:t>
            </w:r>
          </w:p>
        </w:tc>
        <w:tc>
          <w:tcPr>
            <w:tcW w:type="dxa" w:w="196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0.49</w:t>
            </w:r>
          </w:p>
        </w:tc>
        <w:tc>
          <w:tcPr>
            <w:tcW w:type="dxa" w:w="196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0.51</w:t>
            </w:r>
          </w:p>
        </w:tc>
        <w:tc>
          <w:tcPr>
            <w:tcW w:type="dxa" w:w="196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0.50</w:t>
            </w:r>
          </w:p>
        </w:tc>
      </w:tr>
    </w:tbl>
    <w:p>
      <w:pPr>
        <w:spacing w:before="60" w:after="360" w:line="240" w:lineRule="auto"/>
      </w:pPr>
      <w:r>
        <w:rPr>
          <w:i/>
          <w:sz w:val="18"/>
        </w:rPr>
        <w:t xml:space="preserve">Notes: </w:t>
      </w:r>
      <w:r>
        <w:rPr>
          <w:sz w:val="18"/>
        </w:rPr>
        <w:t>Raw shares, no regression. Without a motivational effect, being up by one should win clearly more often than being down by one. The last row checks that games are split evenly between −1 and +1 (no sorting around the cutoff).</w:t>
      </w:r>
    </w:p>
    <w:p>
      <w:pPr>
        <w:keepNext/>
      </w:pPr>
      <w:r>
        <w:t>Table 3: Effect of trailing at halftime on winning, by era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65"/>
        <w:gridCol w:w="1965"/>
        <w:gridCol w:w="1965"/>
      </w:tblGrid>
      <w:tr>
        <w:tc>
          <w:tcPr>
            <w:tcW w:type="dxa" w:w="317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B&amp;P sample</w:t>
            </w:r>
            <w:r>
              <w:br/>
            </w:r>
            <w:r>
              <w:rPr>
                <w:b w:val="0"/>
                <w:i w:val="0"/>
                <w:sz w:val="20"/>
              </w:rPr>
              <w:t>1993/94–2008/09</w:t>
            </w:r>
          </w:p>
        </w:tc>
        <w:tc>
          <w:tcPr>
            <w:tcW w:type="dxa" w:w="196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Post-B&amp;P</w:t>
            </w:r>
            <w:r>
              <w:br/>
            </w:r>
            <w:r>
              <w:rPr>
                <w:b w:val="0"/>
                <w:i w:val="0"/>
                <w:sz w:val="20"/>
              </w:rPr>
              <w:t>2009/10–2013/14</w:t>
            </w:r>
          </w:p>
        </w:tc>
        <w:tc>
          <w:tcPr>
            <w:tcW w:type="dxa" w:w="196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Three-point era</w:t>
            </w:r>
            <w:r>
              <w:br/>
            </w:r>
            <w:r>
              <w:rPr>
                <w:b w:val="0"/>
                <w:i w:val="0"/>
                <w:sz w:val="20"/>
              </w:rPr>
              <w:t>2014/15–2024/25</w:t>
            </w:r>
          </w:p>
        </w:tc>
      </w:tr>
      <w:tr>
        <w:tc>
          <w:tcPr>
            <w:tcW w:type="dxa" w:w="9070"/>
            <w:gridSpan w:val="4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/>
                <w:sz w:val="20"/>
              </w:rPr>
              <w:t>Panel A. Jump in P(win) at a halftime margin of 0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Behind at halftime (pp)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4.8***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6.2*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−1.1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(1.8)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(3.2)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(2.2)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95% confidence interval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[1.3, 8.3]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[−0.1, 12.4]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[−5.4, 3.3]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Minimum detectable effect (pp)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5.0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8.9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6.2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Observations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12,284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3,882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8,096</w:t>
            </w:r>
          </w:p>
        </w:tc>
      </w:tr>
      <w:tr>
        <w:tc>
          <w:tcPr>
            <w:tcW w:type="dxa" w:w="9070"/>
            <w:gridSpan w:val="4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/>
                <w:sz w:val="20"/>
              </w:rPr>
              <w:t>Panel B. Difference in the jump between eras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Difference to B&amp;P era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–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1.4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−5.8**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(3.7)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(2.8)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Difference to post-B&amp;P era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–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–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−7.2*</w:t>
            </w:r>
          </w:p>
        </w:tc>
      </w:tr>
      <w:tr>
        <w:tc>
          <w:tcPr>
            <w:tcW w:type="dxa" w:w="317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(3.9)</w:t>
            </w:r>
          </w:p>
        </w:tc>
      </w:tr>
    </w:tbl>
    <w:p>
      <w:pPr>
        <w:spacing w:before="60" w:after="360" w:line="240" w:lineRule="auto"/>
      </w:pPr>
      <w:r>
        <w:rPr>
          <w:i/>
          <w:sz w:val="18"/>
        </w:rPr>
        <w:t xml:space="preserve">Notes: </w:t>
      </w:r>
      <w:r>
        <w:rPr>
          <w:sz w:val="18"/>
        </w:rPr>
        <w:t>Regression discontinuity at a home halftime margin of 0, one observation per game. OLS on games with a halftime margin within ±10 points, with separate linear slopes on each side of the cutoff; heteroskedasticity-robust standard errors (HC1) in parentheses. The outcome is 100 if the home team wins, so estimates are in percentage points; a positive estimate means that being just behind raises the probability of winning. The minimum detectable effect is for 80% power at the 5% level (2.8 × SE). Panel B: difference between two era estimates from Panel A, tested with a z-test for two independent estimates, z = (b₁ − b₂) / √(SE₁² + SE₂²). * p &lt; 0.10, ** p &lt; 0.05, *** p &lt; 0.01.</w:t>
      </w:r>
    </w:p>
    <w:p>
      <w:pPr>
        <w:keepNext/>
      </w:pPr>
      <w:r>
        <w:t>Table 4: Mechanism: effort and noise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65"/>
        <w:gridCol w:w="1965"/>
        <w:gridCol w:w="1965"/>
      </w:tblGrid>
      <w:tr>
        <w:tc>
          <w:tcPr>
            <w:tcW w:type="dxa" w:w="317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B&amp;P sample</w:t>
            </w:r>
            <w:r>
              <w:br/>
            </w:r>
            <w:r>
              <w:rPr>
                <w:b w:val="0"/>
                <w:i w:val="0"/>
                <w:sz w:val="20"/>
              </w:rPr>
              <w:t>1993/94–2008/09</w:t>
            </w:r>
          </w:p>
        </w:tc>
        <w:tc>
          <w:tcPr>
            <w:tcW w:type="dxa" w:w="196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Post-B&amp;P</w:t>
            </w:r>
            <w:r>
              <w:br/>
            </w:r>
            <w:r>
              <w:rPr>
                <w:b w:val="0"/>
                <w:i w:val="0"/>
                <w:sz w:val="20"/>
              </w:rPr>
              <w:t>2009/10–2013/14</w:t>
            </w:r>
          </w:p>
        </w:tc>
        <w:tc>
          <w:tcPr>
            <w:tcW w:type="dxa" w:w="196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Three-point era</w:t>
            </w:r>
            <w:r>
              <w:br/>
            </w:r>
            <w:r>
              <w:rPr>
                <w:b w:val="0"/>
                <w:i w:val="0"/>
                <w:sz w:val="20"/>
              </w:rPr>
              <w:t>2014/15–2024/25</w:t>
            </w:r>
          </w:p>
        </w:tc>
      </w:tr>
      <w:tr>
        <w:tc>
          <w:tcPr>
            <w:tcW w:type="dxa" w:w="9070"/>
            <w:gridSpan w:val="4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/>
                <w:sz w:val="20"/>
              </w:rPr>
              <w:t>Panel A. Effort: jump in the second-half points margin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Behind at halftime (points)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0.81**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1.33**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0.38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(0.36)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(0.64)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(0.48)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Observations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12,284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3,882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8,096</w:t>
            </w:r>
          </w:p>
        </w:tc>
      </w:tr>
      <w:tr>
        <w:tc>
          <w:tcPr>
            <w:tcW w:type="dxa" w:w="9070"/>
            <w:gridSpan w:val="4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/>
                <w:sz w:val="20"/>
              </w:rPr>
              <w:t>Panel B. Noise: value of one halftime point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One point further ahead at halftime (pp)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3.41***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3.50***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2.85***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(0.15)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(0.26)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(0.18)</w:t>
            </w:r>
          </w:p>
        </w:tc>
      </w:tr>
      <w:tr>
        <w:tc>
          <w:tcPr>
            <w:tcW w:type="dxa" w:w="317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Relative to B&amp;P era (%)</w:t>
            </w:r>
          </w:p>
        </w:tc>
        <w:tc>
          <w:tcPr>
            <w:tcW w:type="dxa" w:w="196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100</w:t>
            </w:r>
          </w:p>
        </w:tc>
        <w:tc>
          <w:tcPr>
            <w:tcW w:type="dxa" w:w="196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103</w:t>
            </w:r>
          </w:p>
        </w:tc>
        <w:tc>
          <w:tcPr>
            <w:tcW w:type="dxa" w:w="196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84</w:t>
            </w:r>
          </w:p>
        </w:tc>
      </w:tr>
    </w:tbl>
    <w:p>
      <w:pPr>
        <w:spacing w:before="60" w:after="360" w:line="240" w:lineRule="auto"/>
      </w:pPr>
      <w:r>
        <w:rPr>
          <w:i/>
          <w:sz w:val="18"/>
        </w:rPr>
        <w:t xml:space="preserve">Notes: </w:t>
      </w:r>
      <w:r>
        <w:rPr>
          <w:sz w:val="18"/>
        </w:rPr>
        <w:t>Panel A: same regression discontinuity as in Table 3 (linear, ±10 points, robust standard errors in parentheses), with the home team's second-half points margin (final margin minus halftime margin) as the outcome; a positive estimate means that teams just behind outscore their opponent after halftime. Panel B: increase in the home team's probability of winning per additional point of halftime margin, i.e. the average of the two slopes in the regression of Table 3 (robust standard errors in parentheses). Noisier second halves make each point worth less; the last row gives the value of a point relative to the B&amp;P era. * p &lt; 0.10, ** p &lt; 0.05, *** p &lt; 0.01.</w:t>
      </w:r>
    </w:p>
    <w:p>
      <w:pPr>
        <w:keepNext/>
      </w:pPr>
      <w:r>
        <w:t>Table 5: Short three-point line within the B&amp;P era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65"/>
        <w:gridCol w:w="1965"/>
        <w:gridCol w:w="1965"/>
      </w:tblGrid>
      <w:tr>
        <w:tc>
          <w:tcPr>
            <w:tcW w:type="dxa" w:w="317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Regular-line</w:t>
            </w:r>
            <w:r>
              <w:br/>
            </w:r>
            <w:r>
              <w:rPr>
                <w:b w:val="0"/>
                <w:i w:val="0"/>
                <w:sz w:val="20"/>
              </w:rPr>
              <w:t>seasons</w:t>
            </w:r>
          </w:p>
        </w:tc>
        <w:tc>
          <w:tcPr>
            <w:tcW w:type="dxa" w:w="196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Short-line seasons</w:t>
            </w:r>
            <w:r>
              <w:br/>
            </w:r>
            <w:r>
              <w:rPr>
                <w:b w:val="0"/>
                <w:i w:val="0"/>
                <w:sz w:val="20"/>
              </w:rPr>
              <w:t>1994/95–1996/97</w:t>
            </w:r>
          </w:p>
        </w:tc>
        <w:tc>
          <w:tcPr>
            <w:tcW w:type="dxa" w:w="196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Difference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Jump in P(win) (pp)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6.7***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−3.4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−10.1**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(2.0)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(4.2)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(4.6)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Jump in second-half margin (points)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0.91**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0.37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−0.54</w:t>
            </w:r>
          </w:p>
        </w:tc>
      </w:tr>
      <w:tr>
        <w:tc>
          <w:tcPr>
            <w:tcW w:type="dxa" w:w="317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(0.40)</w:t>
            </w:r>
          </w:p>
        </w:tc>
        <w:tc>
          <w:tcPr>
            <w:tcW w:type="dxa" w:w="196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(0.82)</w:t>
            </w:r>
          </w:p>
        </w:tc>
        <w:tc>
          <w:tcPr>
            <w:tcW w:type="dxa" w:w="196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(0.91)</w:t>
            </w:r>
          </w:p>
        </w:tc>
      </w:tr>
    </w:tbl>
    <w:p>
      <w:pPr>
        <w:spacing w:before="60" w:after="360" w:line="240" w:lineRule="auto"/>
      </w:pPr>
      <w:r>
        <w:rPr>
          <w:i/>
          <w:sz w:val="18"/>
        </w:rPr>
        <w:t xml:space="preserve">Notes: </w:t>
      </w:r>
      <w:r>
        <w:rPr>
          <w:sz w:val="18"/>
        </w:rPr>
        <w:t>B&amp;P-era seasons 1993/94–2008/09 only. The NBA shortened the three-point line to 22 feet from 1994/95 to 1996/97, which temporarily raised three-point attempts from 11.7% to about 20% of field-goal attempts. Same regression discontinuity as in Table 3 (linear, ±10 points), estimated separately for regular-line (10,007 games) and short-line seasons (2,277 games); robust standard errors in parentheses. The difference is tested with a z-test for two independent estimates, z = (b₁ − b₂) / √(SE₁² + SE₂²). * p &lt; 0.10, ** p &lt; 0.05, *** p &lt; 0.01.</w:t>
      </w:r>
    </w:p>
    <w:p>
      <w:pPr>
        <w:keepNext/>
      </w:pPr>
      <w:r>
        <w:t>Table 6: Robustness of the jump in P(win)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65"/>
        <w:gridCol w:w="1965"/>
        <w:gridCol w:w="1965"/>
      </w:tblGrid>
      <w:tr>
        <w:tc>
          <w:tcPr>
            <w:tcW w:type="dxa" w:w="317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B&amp;P sample</w:t>
            </w:r>
            <w:r>
              <w:br/>
            </w:r>
            <w:r>
              <w:rPr>
                <w:b w:val="0"/>
                <w:i w:val="0"/>
                <w:sz w:val="20"/>
              </w:rPr>
              <w:t>1993/94–2008/09</w:t>
            </w:r>
          </w:p>
        </w:tc>
        <w:tc>
          <w:tcPr>
            <w:tcW w:type="dxa" w:w="196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Post-B&amp;P</w:t>
            </w:r>
            <w:r>
              <w:br/>
            </w:r>
            <w:r>
              <w:rPr>
                <w:b w:val="0"/>
                <w:i w:val="0"/>
                <w:sz w:val="20"/>
              </w:rPr>
              <w:t>2009/10–2013/14</w:t>
            </w:r>
          </w:p>
        </w:tc>
        <w:tc>
          <w:tcPr>
            <w:tcW w:type="dxa" w:w="196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Three-point era</w:t>
            </w:r>
            <w:r>
              <w:br/>
            </w:r>
            <w:r>
              <w:rPr>
                <w:b w:val="0"/>
                <w:i w:val="0"/>
                <w:sz w:val="20"/>
              </w:rPr>
              <w:t>2014/15–2024/25</w:t>
            </w:r>
          </w:p>
        </w:tc>
      </w:tr>
      <w:tr>
        <w:tc>
          <w:tcPr>
            <w:tcW w:type="dxa" w:w="9070"/>
            <w:gridSpan w:val="4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/>
                <w:sz w:val="20"/>
              </w:rPr>
              <w:t>Panel A. Window and functional form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Linear, ±5 points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8.0***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6.5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−0.4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(2.7)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(4.9)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(3.4)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Linear, ±10 points (main)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4.8***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6.2*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−1.1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(1.8)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(3.2)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(2.2)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Linear, ±15 points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1.1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0.9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−3.2*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(1.5)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(2.6)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(1.8)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Cubic, ±10 points (B&amp;P-style)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8.9*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5.2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−4.0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(5.0)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(9.0)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(6.3)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rdrobust, local linear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7.8***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6.5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−1.7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(2.9)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(4.3)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(2.7)</w:t>
            </w:r>
          </w:p>
        </w:tc>
      </w:tr>
      <w:tr>
        <w:tc>
          <w:tcPr>
            <w:tcW w:type="dxa" w:w="9070"/>
            <w:gridSpan w:val="4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/>
                <w:sz w:val="20"/>
              </w:rPr>
              <w:t>Panel B. Timing within the three-point era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Without COVID seasons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–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–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0.2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(2.4)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2014/15–2018/19 only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–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–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3.6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(3.2)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2019/20–2024/25 only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–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–</w:t>
            </w:r>
          </w:p>
        </w:tc>
        <w:tc>
          <w:tcPr>
            <w:tcW w:type="dxa" w:w="1965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−5.5*</w:t>
            </w:r>
          </w:p>
        </w:tc>
      </w:tr>
      <w:tr>
        <w:tc>
          <w:tcPr>
            <w:tcW w:type="dxa" w:w="317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965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(3.1)</w:t>
            </w:r>
          </w:p>
        </w:tc>
      </w:tr>
    </w:tbl>
    <w:p>
      <w:pPr>
        <w:spacing w:before="60" w:after="360" w:line="240" w:lineRule="auto"/>
      </w:pPr>
      <w:r>
        <w:rPr>
          <w:i/>
          <w:sz w:val="18"/>
        </w:rPr>
        <w:t xml:space="preserve">Notes: </w:t>
      </w:r>
      <w:r>
        <w:rPr>
          <w:sz w:val="18"/>
        </w:rPr>
        <w:t>Each cell is the jump in the probability of winning (percentage points) at a halftime margin of 0, standard errors in parentheses. Rows in Panel A vary the window around the cutoff and the polynomial; the cubic is shown only for comparability with B&amp;P, since high-order polynomials are not recommended in RD designs (Gelman &amp; Imbens, 2019). rdrobust (Calonico et al., 2014) uses a triangular kernel, an MSE-optimal bandwidth (5.8, 7.9, 9.2 points for the three eras) and a mass-point adjustment; its stars are based on the robust bias-corrected p-value. Panel B uses the main specification (linear, ±10 points); the COVID seasons are 2019/20 (bubble) and 2020/21 (empty arenas). * p &lt; 0.10, ** p &lt; 0.05, *** p &lt; 0.01.</w:t>
      </w:r>
    </w:p>
    <w:p>
      <w:pPr>
        <w:keepNext/>
      </w:pPr>
      <w:r>
        <w:t>Table A1: Season-level data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610"/>
        <w:gridCol w:w="1610"/>
        <w:gridCol w:w="1610"/>
        <w:gridCol w:w="1610"/>
        <w:gridCol w:w="1610"/>
      </w:tblGrid>
      <w:tr>
        <w:tc>
          <w:tcPr>
            <w:tcW w:type="dxa" w:w="102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Season</w:t>
            </w:r>
          </w:p>
        </w:tc>
        <w:tc>
          <w:tcPr>
            <w:tcW w:type="dxa" w:w="161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Games</w:t>
            </w:r>
          </w:p>
        </w:tc>
        <w:tc>
          <w:tcPr>
            <w:tcW w:type="dxa" w:w="161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Home wins</w:t>
            </w:r>
            <w:r>
              <w:br/>
            </w:r>
            <w:r>
              <w:rPr>
                <w:b w:val="0"/>
                <w:i w:val="0"/>
                <w:sz w:val="20"/>
              </w:rPr>
              <w:t>(%)</w:t>
            </w:r>
          </w:p>
        </w:tc>
        <w:tc>
          <w:tcPr>
            <w:tcW w:type="dxa" w:w="161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3PA</w:t>
            </w:r>
            <w:r>
              <w:br/>
            </w:r>
            <w:r>
              <w:rPr>
                <w:b w:val="0"/>
                <w:i w:val="0"/>
                <w:sz w:val="20"/>
              </w:rPr>
              <w:t>(% of FGA)</w:t>
            </w:r>
          </w:p>
        </w:tc>
        <w:tc>
          <w:tcPr>
            <w:tcW w:type="dxa" w:w="161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SD second-</w:t>
            </w:r>
            <w:r>
              <w:br/>
            </w:r>
            <w:r>
              <w:rPr>
                <w:b w:val="0"/>
                <w:i w:val="0"/>
                <w:sz w:val="20"/>
              </w:rPr>
              <w:t>half margin</w:t>
            </w:r>
          </w:p>
        </w:tc>
        <w:tc>
          <w:tcPr>
            <w:tcW w:type="dxa" w:w="161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Jump in P(win)</w:t>
            </w:r>
            <w:r>
              <w:br/>
            </w:r>
            <w:r>
              <w:rPr>
                <w:b w:val="0"/>
                <w:i w:val="0"/>
                <w:sz w:val="20"/>
              </w:rPr>
              <w:t>(pp)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1993/94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1,062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61.4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10.08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4.7 (7.4)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i w:val="0"/>
                <w:sz w:val="20"/>
              </w:rPr>
              <w:t>1994/95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i w:val="0"/>
                <w:sz w:val="20"/>
              </w:rPr>
              <w:t>1,062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i w:val="0"/>
                <w:sz w:val="20"/>
              </w:rPr>
              <w:t>59.8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i w:val="0"/>
                <w:sz w:val="20"/>
              </w:rPr>
              <w:t>18.8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i w:val="0"/>
                <w:sz w:val="20"/>
              </w:rPr>
              <w:t>9.79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i w:val="0"/>
                <w:sz w:val="20"/>
              </w:rPr>
              <w:t>−8.9 (7.6)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i w:val="0"/>
                <w:sz w:val="20"/>
              </w:rPr>
              <w:t>1995/96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i w:val="0"/>
                <w:sz w:val="20"/>
              </w:rPr>
              <w:t>1,139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i w:val="0"/>
                <w:sz w:val="20"/>
              </w:rPr>
              <w:t>60.3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i w:val="0"/>
                <w:sz w:val="20"/>
              </w:rPr>
              <w:t>20.2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i w:val="0"/>
                <w:sz w:val="20"/>
              </w:rPr>
              <w:t>10.02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i w:val="0"/>
                <w:sz w:val="20"/>
              </w:rPr>
              <w:t>7.0 (7.1)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i w:val="0"/>
                <w:sz w:val="20"/>
              </w:rPr>
              <w:t>1996/97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i w:val="0"/>
                <w:sz w:val="20"/>
              </w:rPr>
              <w:t>1,127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i w:val="0"/>
                <w:sz w:val="20"/>
              </w:rPr>
              <w:t>58.0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i w:val="0"/>
                <w:sz w:val="20"/>
              </w:rPr>
              <w:t>21.2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i w:val="0"/>
                <w:sz w:val="20"/>
              </w:rPr>
              <w:t>10.04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/>
                <w:i w:val="0"/>
                <w:sz w:val="20"/>
              </w:rPr>
              <w:t>−8.9 (7.1)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1997/98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1,141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59.5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9.80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0.1 (7.2)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1998/99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689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62.4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16.7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9.26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18.9** (8.7)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1999/00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1,114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61.3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16.7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9.96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1.6 (7.2)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2000/01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1,142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60.2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8.76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8.7 (7.0)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2001/02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1,143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59.3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18.1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9.56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9.1 (7.3)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2002/03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1,151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62.4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18.2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9.58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11.5 (7.1)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2003/04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1,154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61.6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18.7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9.45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7.8 (7.2)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2004/05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1,177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61.3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19.6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9.17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16.9** (6.7)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2005/06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1,184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60.6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20.3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9.46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−0.1 (6.6)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2006/07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1,185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59.3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21.2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9.54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6.8 (7.2)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2007/08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1,178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60.7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22.3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10.58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5.7 (7.0)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2008/09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1,168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60.2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22.4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9.83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1.0 (6.9)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2009/10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1,191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59.9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22.2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10.30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8.4 (6.9)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2010/11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1,179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60.3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22.2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9.65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3.6 (6.8)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2011/12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952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58.6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22.5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9.59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10.4 (8.0)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2012/13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1,179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61.7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24.7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9.61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9.8 (7.0)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2013/14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1,190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58.2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26.3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9.81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−0.6 (7.2)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2014/15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1,168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57.8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27.2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10.06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11.6 (7.3)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2015/16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1,191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59.2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28.7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9.91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−5.9 (7.0)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2016/17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1,180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58.5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31.9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10.35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6.0 (7.3)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2017/18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1,169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58.1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33.6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10.40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2.7 (7.0)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2018/19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1,177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59.3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35.9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10.25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2.9 (7.2)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2019/20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1,026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55.2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38.4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10.82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0.8 (7.8)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2020/21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1,043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54.7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39.2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10.96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−15.6** (7.5)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2021/22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1,206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54.5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39.9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11.13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−9.5 (7.4)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2022/23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1,195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58.0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38.8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10.44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4.6 (7.5)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2023/24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1,198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54.6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39.5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11.02</w:t>
            </w:r>
          </w:p>
        </w:tc>
        <w:tc>
          <w:tcPr>
            <w:tcW w:type="dxa" w:w="1610"/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−0.8 (7.5)</w:t>
            </w:r>
          </w:p>
        </w:tc>
      </w:tr>
      <w:tr>
        <w:tc>
          <w:tcPr>
            <w:tcW w:type="dxa" w:w="1020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b w:val="0"/>
                <w:i w:val="0"/>
                <w:sz w:val="20"/>
              </w:rPr>
              <w:t>2024/25</w:t>
            </w:r>
          </w:p>
        </w:tc>
        <w:tc>
          <w:tcPr>
            <w:tcW w:type="dxa" w:w="1610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1,170</w:t>
            </w:r>
          </w:p>
        </w:tc>
        <w:tc>
          <w:tcPr>
            <w:tcW w:type="dxa" w:w="1610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54.4</w:t>
            </w:r>
          </w:p>
        </w:tc>
        <w:tc>
          <w:tcPr>
            <w:tcW w:type="dxa" w:w="1610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42.2</w:t>
            </w:r>
          </w:p>
        </w:tc>
        <w:tc>
          <w:tcPr>
            <w:tcW w:type="dxa" w:w="1610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11.64</w:t>
            </w:r>
          </w:p>
        </w:tc>
        <w:tc>
          <w:tcPr>
            <w:tcW w:type="dxa" w:w="1610"/>
            <w:tcBorders>
              <w:bottom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b w:val="0"/>
                <w:i w:val="0"/>
                <w:sz w:val="20"/>
              </w:rPr>
              <w:t>−13.0* (7.5)</w:t>
            </w:r>
          </w:p>
        </w:tc>
      </w:tr>
    </w:tbl>
    <w:p>
      <w:pPr>
        <w:spacing w:before="60" w:after="360" w:line="240" w:lineRule="auto"/>
      </w:pPr>
      <w:r>
        <w:rPr>
          <w:i/>
          <w:sz w:val="18"/>
        </w:rPr>
        <w:t xml:space="preserve">Notes: </w:t>
      </w:r>
      <w:r>
        <w:rPr>
          <w:sz w:val="18"/>
        </w:rPr>
        <w:t>Columns as in Table 1. The last column is the main regression discontinuity (Table 3) estimated season by season, robust standard error in parentheses; single seasons are imprecise (SE ≈ 7 pp). * p &lt; 0.10, ** p &lt; 0.05, *** p &lt; 0.01. Short-line seasons (1994/95–1996/97) in bold.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