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Reranker-Wechsel: Vergleich und Wirkung</w:t>
      </w:r>
    </w:p>
    <w:p>
      <w:pPr>
        <w:spacing w:after="80" w:line="252" w:lineRule="auto"/>
      </w:pPr>
      <w:r>
        <w:rPr>
          <w:rFonts w:ascii="Calibri" w:hAnsi="Calibri"/>
          <w:b/>
          <w:color w:val="1F1F1F"/>
          <w:sz w:val="24"/>
        </w:rPr>
        <w:t>Von BAAI/bge-reranker-base zu cross-encoder/ms-marco-MiniLM-L-6-v2</w:t>
      </w:r>
    </w:p>
    <w:p>
      <w:pPr>
        <w:spacing w:after="160" w:line="252" w:lineRule="auto"/>
      </w:pPr>
      <w:r>
        <w:rPr>
          <w:rFonts w:ascii="Calibri" w:hAnsi="Calibri"/>
          <w:b w:val="0"/>
          <w:color w:val="1F1F1F"/>
          <w:sz w:val="18"/>
        </w:rPr>
        <w:t>Technischer Bewertungsbericht · 05. August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E2F0D9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1F1F"/>
                <w:sz w:val="18"/>
              </w:rPr>
              <w:t>Kernaussage: MiniLM wurde gewählt, weil es für den englischen Produktions-Workload nach deterministischer Current-Policy-Filterung die erforderliche Ranking-Qualität erreicht und in kontrollierten CPU-Benchmarks ungefähr 10- bis 14-mal schneller als BGE war. Die fachliche Verbesserung stammt aus der Kombination von Modellwechsel, Metadatenfilter, Produkt-Prefilter und Evidence-Priority-Logik.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80" w:after="80"/>
      </w:pPr>
      <w:r>
        <w:rPr>
          <w:rFonts w:ascii="Calibri" w:hAnsi="Calibri"/>
          <w:color w:val="1F4E79"/>
        </w:rPr>
        <w:t>Berichtsgrundlage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tblHeader w:val="true"/>
        </w:trPr>
        <w:tc>
          <w:tcPr>
            <w:tcW w:type="dxa" w:w="4968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Artefakt</w:t>
            </w:r>
          </w:p>
        </w:tc>
        <w:tc>
          <w:tcPr>
            <w:tcW w:type="dxa" w:w="5256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Rolle</w:t>
            </w:r>
          </w:p>
        </w:tc>
      </w:tr>
      <w:tr>
        <w:trPr>
          <w:cantSplit/>
        </w:trPr>
        <w:tc>
          <w:tcPr>
            <w:tcW w:type="dxa" w:w="496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reranker_benchmark_isolated_20260801</w:t>
            </w:r>
          </w:p>
        </w:tc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Kleiner Vier-Modell-Vergleich, 6 Fälle</w:t>
            </w:r>
          </w:p>
        </w:tc>
      </w:tr>
      <w:tr>
        <w:trPr>
          <w:cantSplit/>
        </w:trPr>
        <w:tc>
          <w:tcPr>
            <w:tcW w:type="dxa" w:w="496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reranker_regression_benchmark_20260801</w:t>
            </w:r>
          </w:p>
        </w:tc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Erweiterter Raw-Vergleich, 64 Fälle</w:t>
            </w:r>
          </w:p>
        </w:tc>
      </w:tr>
      <w:tr>
        <w:trPr>
          <w:cantSplit/>
        </w:trPr>
        <w:tc>
          <w:tcPr>
            <w:tcW w:type="dxa" w:w="496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reranker_post_filter_benchmark_20260801</w:t>
            </w:r>
          </w:p>
        </w:tc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Vergleich nach Current-Policy-Filter</w:t>
            </w:r>
          </w:p>
        </w:tc>
      </w:tr>
      <w:tr>
        <w:trPr>
          <w:cantSplit/>
        </w:trPr>
        <w:tc>
          <w:tcPr>
            <w:tcW w:type="dxa" w:w="496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reranker_regression_minilm_project_runtime_20260801</w:t>
            </w:r>
          </w:p>
        </w:tc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Kompatibilität im Projekt-Runtime</w:t>
            </w:r>
          </w:p>
        </w:tc>
      </w:tr>
      <w:tr>
        <w:trPr>
          <w:cantSplit/>
        </w:trPr>
        <w:tc>
          <w:tcPr>
            <w:tcW w:type="dxa" w:w="496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reranker_minilm_production_activation_20260801</w:t>
            </w:r>
          </w:p>
        </w:tc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Produktive Aktivierung und Live-E2E</w:t>
            </w:r>
          </w:p>
        </w:tc>
      </w:tr>
      <w:tr>
        <w:trPr>
          <w:cantSplit/>
        </w:trPr>
        <w:tc>
          <w:tcPr>
            <w:tcW w:type="dxa" w:w="496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Combined-Live-Diagnosen 2026-08-04/05</w:t>
            </w:r>
          </w:p>
        </w:tc>
        <w:tc>
          <w:tcPr>
            <w:tcW w:type="dxa" w:w="525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Spätere Laufzeit- und Retrievalbelege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80" w:after="80"/>
      </w:pPr>
      <w:r>
        <w:rPr>
          <w:rFonts w:ascii="Calibri" w:hAnsi="Calibri"/>
          <w:color w:val="1F4E79"/>
        </w:rPr>
        <w:t>1. Ausgangslage und Ziel</w:t>
      </w:r>
    </w:p>
    <w:p>
      <w:pPr>
        <w:spacing w:after="80" w:line="252" w:lineRule="auto"/>
      </w:pPr>
      <w:r>
        <w:rPr>
          <w:rFonts w:ascii="Calibri" w:hAnsi="Calibri"/>
          <w:b w:val="0"/>
          <w:color w:val="1F1F1F"/>
          <w:sz w:val="19"/>
        </w:rPr>
        <w:t>Der frühere produktive Reranker war BAAI/bge-reranker-base mit 278,0 Millionen Parametern. Er lieferte grundsätzlich hohe Ranking-Metriken, war auf CPU jedoch der dominante Latenztreiber.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Historische Fixed-E2E-Läufe benötigten im Warmlauf etwa 12,9 bis 13,3 Sekunden allein für Reranking.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Ein früherer erfolgreicher Lauf lag bei 28,22 Sekunden CPU-Reranking; für explizit benannte PDFs wurde diese redundante Stufe später gezielt übersprungen.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Die Policy-Auswahl durfte nicht allein semantisch erfolgen, weil alte und aktuelle Policen desselben Kunden sehr ähnlich formuliert sind.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Ziel war daher nicht nur ein kleineres Modell, sondern eine klare Trennung: deterministische Vertragsauswahl über Metadaten, semantisches Reranking innerhalb einer fachlich zulässigen Kandidatenmenge.</w:t>
      </w:r>
    </w:p>
    <w:p>
      <w:pPr>
        <w:pStyle w:val="Heading3"/>
        <w:keepNext/>
        <w:spacing w:before="80" w:after="80"/>
      </w:pPr>
      <w:r>
        <w:rPr>
          <w:rFonts w:ascii="Calibri" w:hAnsi="Calibri"/>
          <w:color w:val="1F4E79"/>
        </w:rPr>
        <w:t>Entscheidungskriterien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240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Kriterium</w:t>
            </w:r>
          </w:p>
        </w:tc>
        <w:tc>
          <w:tcPr>
            <w:tcW w:type="dxa" w:w="1008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Priorität</w:t>
            </w:r>
          </w:p>
        </w:tc>
        <w:tc>
          <w:tcPr>
            <w:tcW w:type="dxa" w:w="5976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Begründung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Pflichtfälle</w:t>
            </w:r>
          </w:p>
        </w:tc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1</w:t>
            </w:r>
          </w:p>
        </w:tc>
        <w:tc>
          <w:tcPr>
            <w:tcW w:type="dxa" w:w="597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Aktuelle Lara-Police und Current-Intent dürfen nicht fehlschlagen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Top-1 / MRR@5 / nDCG@5</w:t>
            </w:r>
          </w:p>
        </w:tc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2</w:t>
            </w:r>
          </w:p>
        </w:tc>
        <w:tc>
          <w:tcPr>
            <w:tcW w:type="dxa" w:w="597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Ranking-Qualität vor Latenz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Englischer Workload</w:t>
            </w:r>
          </w:p>
        </w:tc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3</w:t>
            </w:r>
          </w:p>
        </w:tc>
        <w:tc>
          <w:tcPr>
            <w:tcW w:type="dxa" w:w="597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Produktive Combined-Queries waren primär Englisch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CPU-Latenz</w:t>
            </w:r>
          </w:p>
        </w:tc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4</w:t>
            </w:r>
          </w:p>
        </w:tc>
        <w:tc>
          <w:tcPr>
            <w:tcW w:type="dxa" w:w="597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Interaktive Antwortzeit und Systemlast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Runtime-Kompatibilität</w:t>
            </w:r>
          </w:p>
        </w:tc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5</w:t>
            </w:r>
          </w:p>
        </w:tc>
        <w:tc>
          <w:tcPr>
            <w:tcW w:type="dxa" w:w="597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Keine riskante Dependency-Umstellung</w:t>
            </w:r>
          </w:p>
        </w:tc>
      </w:tr>
      <w:tr>
        <w:trPr>
          <w:cantSplit/>
        </w:trPr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Stabilität</w:t>
            </w:r>
          </w:p>
        </w:tc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6</w:t>
            </w:r>
          </w:p>
        </w:tc>
        <w:tc>
          <w:tcPr>
            <w:tcW w:type="dxa" w:w="597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Gleiche Rankings über drei Messläufe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FF2CC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1F1F"/>
                <w:sz w:val="18"/>
              </w:rPr>
              <w:t>Wichtig: Im ersten erweiterten Raw-Benchmark wurde MiniLM ausdrücklich noch nicht aktiviert, weil sowohl MiniLM als auch BGE die aktuelle Lara-Police hinter die ältere Police setzten. Erst der fachlich richtige Metadatenfilter beseitigte diese Modellgrenze.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80" w:after="80"/>
      </w:pPr>
      <w:r>
        <w:rPr>
          <w:rFonts w:ascii="Calibri" w:hAnsi="Calibri"/>
          <w:color w:val="1F4E79"/>
        </w:rPr>
        <w:t>2. Verglichene Modelle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4752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Modell</w:t>
            </w:r>
          </w:p>
        </w:tc>
        <w:tc>
          <w:tcPr>
            <w:tcW w:type="dxa" w:w="1224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Parameter</w:t>
            </w:r>
          </w:p>
        </w:tc>
        <w:tc>
          <w:tcPr>
            <w:tcW w:type="dxa" w:w="4248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Rolle im Vergleich</w:t>
            </w:r>
          </w:p>
        </w:tc>
      </w:tr>
      <w:tr>
        <w:trPr>
          <w:cantSplit/>
        </w:trPr>
        <w:tc>
          <w:tcPr>
            <w:tcW w:type="dxa" w:w="475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BAAI/bge-reranker-base</w:t>
            </w:r>
          </w:p>
        </w:tc>
        <w:tc>
          <w:tcPr>
            <w:tcW w:type="dxa" w:w="122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278,0 M</w:t>
            </w:r>
          </w:p>
        </w:tc>
        <w:tc>
          <w:tcPr>
            <w:tcW w:type="dxa" w:w="424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Vorheriger produktiver Reranker / Baseline</w:t>
            </w:r>
          </w:p>
        </w:tc>
      </w:tr>
      <w:tr>
        <w:trPr>
          <w:cantSplit/>
        </w:trPr>
        <w:tc>
          <w:tcPr>
            <w:tcW w:type="dxa" w:w="475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ms-marco-MiniLM-L-6-v2</w:t>
            </w:r>
          </w:p>
        </w:tc>
        <w:tc>
          <w:tcPr>
            <w:tcW w:type="dxa" w:w="122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22,7 M</w:t>
            </w:r>
          </w:p>
        </w:tc>
        <w:tc>
          <w:tcPr>
            <w:tcW w:type="dxa" w:w="424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Ausgewähltes Modell</w:t>
            </w:r>
          </w:p>
        </w:tc>
      </w:tr>
      <w:tr>
        <w:trPr>
          <w:cantSplit/>
        </w:trPr>
        <w:tc>
          <w:tcPr>
            <w:tcW w:type="dxa" w:w="475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mmarco-mMiniLMv2-L12-H384-v1</w:t>
            </w:r>
          </w:p>
        </w:tc>
        <w:tc>
          <w:tcPr>
            <w:tcW w:type="dxa" w:w="122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117,6 M</w:t>
            </w:r>
          </w:p>
        </w:tc>
        <w:tc>
          <w:tcPr>
            <w:tcW w:type="dxa" w:w="424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Mehrsprachige Qualitätsalternative</w:t>
            </w:r>
          </w:p>
        </w:tc>
      </w:tr>
      <w:tr>
        <w:trPr>
          <w:cantSplit/>
        </w:trPr>
        <w:tc>
          <w:tcPr>
            <w:tcW w:type="dxa" w:w="475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ettin-reranker-32m-v1</w:t>
            </w:r>
          </w:p>
        </w:tc>
        <w:tc>
          <w:tcPr>
            <w:tcW w:type="dxa" w:w="122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31,9 M</w:t>
            </w:r>
          </w:p>
        </w:tc>
        <w:tc>
          <w:tcPr>
            <w:tcW w:type="dxa" w:w="424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Kleine Alternative</w:t>
            </w:r>
          </w:p>
        </w:tc>
      </w:tr>
      <w:tr>
        <w:trPr>
          <w:cantSplit/>
        </w:trPr>
        <w:tc>
          <w:tcPr>
            <w:tcW w:type="dxa" w:w="475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ettin-reranker-68m-v1</w:t>
            </w:r>
          </w:p>
        </w:tc>
        <w:tc>
          <w:tcPr>
            <w:tcW w:type="dxa" w:w="122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68,1 M</w:t>
            </w:r>
          </w:p>
        </w:tc>
        <w:tc>
          <w:tcPr>
            <w:tcW w:type="dxa" w:w="424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Mittlere Alternative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80" w:after="80"/>
      </w:pPr>
      <w:r>
        <w:rPr>
          <w:rFonts w:ascii="Calibri" w:hAnsi="Calibri"/>
          <w:color w:val="1F4E79"/>
        </w:rPr>
        <w:t>Warum MiniLM fachlich vertretbar war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Es bestand alle englischen Pflichtfälle nach dem Current-Policy-Filter mit Top-1, MRR@5 und nDCG@5 von jeweils 1,000.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Es war im kleinen isolierten Vergleich zugleich das qualitativ beste Modell: Top-1 0,833, MRR@5 0,917, nDCG@5 0,942.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Es war mit 22,7 M Parametern wesentlich kleiner als BGE und mMARCO und lud schneller.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Die Rankings waren über drei Messläufe stabil und im unveränderten Projekt-Runtime reproduzierbar.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mMARCO und BGE waren im gefilterten Gesamtdatensatz minimal besser, lieferten aber im primären englischen Workload keinen messbaren Qualitätsvorteil gegenüber MiniLM.</w:t>
      </w:r>
    </w:p>
    <w:p>
      <w:pPr>
        <w:pStyle w:val="Heading3"/>
        <w:keepNext/>
        <w:spacing w:before="80" w:after="80"/>
      </w:pPr>
      <w:r>
        <w:rPr>
          <w:rFonts w:ascii="Calibri" w:hAnsi="Calibri"/>
          <w:color w:val="1F4E79"/>
        </w:rPr>
        <w:t>Technische Einbindung</w:t>
      </w:r>
    </w:p>
    <w:p>
      <w:pPr>
        <w:spacing w:after="80" w:line="252" w:lineRule="auto"/>
      </w:pPr>
      <w:r>
        <w:rPr>
          <w:rFonts w:ascii="Calibri" w:hAnsi="Calibri"/>
          <w:b w:val="0"/>
          <w:color w:val="1F1F1F"/>
          <w:sz w:val="19"/>
        </w:rPr>
        <w:t>Die aktuelle Konfiguration setzt RERANKER_MODEL=cross-encoder/ms-marco-MiniLM-L-6-v2 und RERANKER_USE_FP16=false. Das Modell wird lazy geladen, in der Backend-Instanz wiederverwendet und über den bestehenden FlagEmbedding-Factory-Pfad angesprochen; sentence-transformers bleibt als Fallback verfügbar.</w:t>
      </w:r>
    </w:p>
    <w:p>
      <w:r>
        <w:br w:type="page"/>
      </w:r>
    </w:p>
    <w:p>
      <w:pPr>
        <w:pStyle w:val="Heading2"/>
        <w:keepNext/>
        <w:spacing w:before="80" w:after="80"/>
      </w:pPr>
      <w:r>
        <w:rPr>
          <w:rFonts w:ascii="Calibri" w:hAnsi="Calibri"/>
          <w:color w:val="1F4E79"/>
        </w:rPr>
        <w:t>3. Testergebnisse vor der Filterkorrektur</w:t>
      </w:r>
    </w:p>
    <w:p>
      <w:pPr>
        <w:pStyle w:val="Heading3"/>
        <w:keepNext/>
        <w:spacing w:before="80" w:after="80"/>
      </w:pPr>
      <w:r>
        <w:rPr>
          <w:rFonts w:ascii="Calibri" w:hAnsi="Calibri"/>
          <w:color w:val="1F4E79"/>
        </w:rPr>
        <w:t>Kleiner isolierter Vergleich: 6 Fälle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8"/>
        <w:gridCol w:w="1718"/>
        <w:gridCol w:w="1718"/>
        <w:gridCol w:w="1718"/>
        <w:gridCol w:w="1718"/>
        <w:gridCol w:w="1718"/>
      </w:tblGrid>
      <w:tr>
        <w:trPr>
          <w:tblHeader w:val="true"/>
        </w:trPr>
        <w:tc>
          <w:tcPr>
            <w:tcW w:type="dxa" w:w="3096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Modell</w:t>
            </w:r>
          </w:p>
        </w:tc>
        <w:tc>
          <w:tcPr>
            <w:tcW w:type="dxa" w:w="1008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Top-1</w:t>
            </w:r>
          </w:p>
        </w:tc>
        <w:tc>
          <w:tcPr>
            <w:tcW w:type="dxa" w:w="1080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MRR@5</w:t>
            </w:r>
          </w:p>
        </w:tc>
        <w:tc>
          <w:tcPr>
            <w:tcW w:type="dxa" w:w="1152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nDCG@5</w:t>
            </w:r>
          </w:p>
        </w:tc>
        <w:tc>
          <w:tcPr>
            <w:tcW w:type="dxa" w:w="1944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Mean</w:t>
            </w:r>
          </w:p>
        </w:tc>
        <w:tc>
          <w:tcPr>
            <w:tcW w:type="dxa" w:w="1944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Load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BGE Base</w:t>
            </w:r>
          </w:p>
        </w:tc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0,667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0,833</w:t>
            </w:r>
          </w:p>
        </w:tc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0,893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1.731,0 ms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1,07 s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MiniLM L6</w:t>
            </w:r>
          </w:p>
        </w:tc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0,833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0,917</w:t>
            </w:r>
          </w:p>
        </w:tc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0,942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135,0 ms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0,16 s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Ettin 32M</w:t>
            </w:r>
          </w:p>
        </w:tc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0,667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0,833</w:t>
            </w:r>
          </w:p>
        </w:tc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0,890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161,0 ms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0,47 s</w:t>
            </w:r>
          </w:p>
        </w:tc>
      </w:tr>
      <w:tr>
        <w:trPr>
          <w:cantSplit/>
        </w:trPr>
        <w:tc>
          <w:tcPr>
            <w:tcW w:type="dxa" w:w="309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Ettin 68M</w:t>
            </w:r>
          </w:p>
        </w:tc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0,667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0,833</w:t>
            </w:r>
          </w:p>
        </w:tc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0,896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490,5 ms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0,60 s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Calibri" w:hAnsi="Calibri"/>
          <w:b w:val="0"/>
          <w:color w:val="1F1F1F"/>
          <w:sz w:val="19"/>
        </w:rPr>
        <w:t>Ergebnis: MiniLM war in diesem Test sowohl qualitativ als auch bei der Latenz Sieger. Gegenüber BGE sank die mittlere Modelllatenz um rund 92,2 %; MiniLM war ungefähr 12,8-mal schneller.</w:t>
      </w:r>
    </w:p>
    <w:p>
      <w:pPr>
        <w:pStyle w:val="Heading3"/>
        <w:keepNext/>
        <w:spacing w:before="80" w:after="80"/>
      </w:pPr>
      <w:r>
        <w:rPr>
          <w:rFonts w:ascii="Calibri" w:hAnsi="Calibri"/>
          <w:color w:val="1F4E79"/>
        </w:rPr>
        <w:t>Erweiterter Raw-Regressionstest: 64 Fälle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8"/>
        <w:gridCol w:w="1718"/>
        <w:gridCol w:w="1718"/>
        <w:gridCol w:w="1718"/>
        <w:gridCol w:w="1718"/>
        <w:gridCol w:w="1718"/>
      </w:tblGrid>
      <w:tr>
        <w:trPr>
          <w:tblHeader w:val="true"/>
        </w:trPr>
        <w:tc>
          <w:tcPr>
            <w:tcW w:type="dxa" w:w="3312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Modell</w:t>
            </w:r>
          </w:p>
        </w:tc>
        <w:tc>
          <w:tcPr>
            <w:tcW w:type="dxa" w:w="1008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Top-1</w:t>
            </w:r>
          </w:p>
        </w:tc>
        <w:tc>
          <w:tcPr>
            <w:tcW w:type="dxa" w:w="1080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MRR@5</w:t>
            </w:r>
          </w:p>
        </w:tc>
        <w:tc>
          <w:tcPr>
            <w:tcW w:type="dxa" w:w="1152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nDCG@5</w:t>
            </w:r>
          </w:p>
        </w:tc>
        <w:tc>
          <w:tcPr>
            <w:tcW w:type="dxa" w:w="1080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Lara</w:t>
            </w:r>
          </w:p>
        </w:tc>
        <w:tc>
          <w:tcPr>
            <w:tcW w:type="dxa" w:w="2592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Median CPU</w:t>
            </w:r>
          </w:p>
        </w:tc>
      </w:tr>
      <w:tr>
        <w:trPr>
          <w:cantSplit/>
        </w:trPr>
        <w:tc>
          <w:tcPr>
            <w:tcW w:type="dxa" w:w="331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BGE Base</w:t>
            </w:r>
          </w:p>
        </w:tc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0,953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0,977</w:t>
            </w:r>
          </w:p>
        </w:tc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0,983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FAIL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5.687,7 ms</w:t>
            </w:r>
          </w:p>
        </w:tc>
      </w:tr>
      <w:tr>
        <w:trPr>
          <w:cantSplit/>
        </w:trPr>
        <w:tc>
          <w:tcPr>
            <w:tcW w:type="dxa" w:w="331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MiniLM L6</w:t>
            </w:r>
          </w:p>
        </w:tc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0,922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0,958</w:t>
            </w:r>
          </w:p>
        </w:tc>
        <w:tc>
          <w:tcPr>
            <w:tcW w:type="dxa" w:w="115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0,969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FAIL</w:t>
            </w:r>
          </w:p>
        </w:tc>
        <w:tc>
          <w:tcPr>
            <w:tcW w:type="dxa" w:w="259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394,4 ms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FF2CC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1F1F"/>
                <w:sz w:val="18"/>
              </w:rPr>
              <w:t>Raw-Bewertung: BGE war qualitativ stärker, MiniLM etwa 14,4-mal schneller. Trotzdem durfte kein Modell ausgewählt werden, weil beide die alte Lara-Police TEST-KFZ-2026-1001 vor der aktuellen TEST-KFZ-2026-1003 einordneten.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Calibri" w:hAnsi="Calibri"/>
          <w:b w:val="0"/>
          <w:color w:val="1F1F1F"/>
          <w:sz w:val="19"/>
        </w:rPr>
        <w:t>Diese Beobachtung war entscheidend: Der Reranker konnte aus nahezu identischen Vertragstexten nicht zuverlässig ableiten, welche Police am Stichtag aktuell ist. Das ist eine strukturierte Vertragsregel, keine rein semantische Ähnlichkeitsaufgabe.</w:t>
      </w:r>
    </w:p>
    <w:p>
      <w:r>
        <w:br w:type="page"/>
      </w:r>
    </w:p>
    <w:p>
      <w:pPr>
        <w:pStyle w:val="Heading2"/>
        <w:keepNext/>
        <w:spacing w:before="80" w:after="80"/>
      </w:pPr>
      <w:r>
        <w:rPr>
          <w:rFonts w:ascii="Calibri" w:hAnsi="Calibri"/>
          <w:color w:val="1F4E79"/>
        </w:rPr>
        <w:t>4. Korrektur: Current-Policy- und Produktfilter</w:t>
      </w:r>
    </w:p>
    <w:p>
      <w:pPr>
        <w:spacing w:after="80" w:line="252" w:lineRule="auto"/>
      </w:pPr>
      <w:r>
        <w:rPr>
          <w:rFonts w:ascii="Calibri" w:hAnsi="Calibri"/>
          <w:b w:val="0"/>
          <w:color w:val="1F1F1F"/>
          <w:sz w:val="19"/>
        </w:rPr>
        <w:t>Vor der endgültigen Modellentscheidung wurde die Kandidatenmenge fachlich eingeschränkt. Der Current-Policy-Selector verwendet Kunde, Produktdomäne, Status, Vertragsbeginn, Vertragsende und Referenzdatum. Er wählt die aktive Police mit dem neuesten wirksamen Startdatum und bricht bei Mehrdeutigkeit geschlossen ab.</w:t>
      </w:r>
    </w:p>
    <w:p>
      <w:pPr>
        <w:pStyle w:val="Heading3"/>
        <w:keepNext/>
        <w:spacing w:before="80" w:after="80"/>
      </w:pPr>
      <w:r>
        <w:rPr>
          <w:rFonts w:ascii="Calibri" w:hAnsi="Calibri"/>
          <w:color w:val="1F4E79"/>
        </w:rPr>
        <w:t>Aktuelle Reranking-Logik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tblHeader w:val="true"/>
        </w:trPr>
        <w:tc>
          <w:tcPr>
            <w:tcW w:type="dxa" w:w="3384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Baustein</w:t>
            </w:r>
          </w:p>
        </w:tc>
        <w:tc>
          <w:tcPr>
            <w:tcW w:type="dxa" w:w="6840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Wirkung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Current-policy metadata gate</w:t>
            </w:r>
          </w:p>
        </w:tc>
        <w:tc>
          <w:tcPr>
            <w:tcW w:type="dxa" w:w="684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Verhindert Auswahl alter oder abgelaufener Policen bei eindeutiger Current-Intent-Query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Product-domain prefilter</w:t>
            </w:r>
          </w:p>
        </w:tc>
        <w:tc>
          <w:tcPr>
            <w:tcW w:type="dxa" w:w="684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Entfernt fachfremde Versicherungszweige vor teurem CPU-Scoring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Cross-encoder score</w:t>
            </w:r>
          </w:p>
        </w:tc>
        <w:tc>
          <w:tcPr>
            <w:tcW w:type="dxa" w:w="684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Sortiert die verbleibenden Kandidaten semantisch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Evidence priority</w:t>
            </w:r>
          </w:p>
        </w:tc>
        <w:tc>
          <w:tcPr>
            <w:tcW w:type="dxa" w:w="684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Bevorzugt query-relevante Versicherungsregeln und vollständige Waiver-Evidenz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Neighbor preservation</w:t>
            </w:r>
          </w:p>
        </w:tc>
        <w:tc>
          <w:tcPr>
            <w:tcW w:type="dxa" w:w="684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Hält stark passende Überschrift-/Regel- und angrenzende Evidenzpaare zusammen</w:t>
            </w:r>
          </w:p>
        </w:tc>
      </w:tr>
      <w:tr>
        <w:trPr>
          <w:cantSplit/>
        </w:trPr>
        <w:tc>
          <w:tcPr>
            <w:tcW w:type="dxa" w:w="338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Diagnostics</w:t>
            </w:r>
          </w:p>
        </w:tc>
        <w:tc>
          <w:tcPr>
            <w:tcW w:type="dxa" w:w="684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Protokolliert Input, Score, Produkt-Affinität, Evidence-Priority und finale Rangfolge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80" w:after="80"/>
      </w:pPr>
      <w:r>
        <w:rPr>
          <w:rFonts w:ascii="Calibri" w:hAnsi="Calibri"/>
          <w:color w:val="1F4E79"/>
        </w:rPr>
        <w:t>Warum diese Kombination besser ist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Zeitliche Vertragsgültigkeit wird deterministisch statt probabilistisch entschieden.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Der Cross-Encoder konzentriert Rechenzeit auf fachlich kompatible Kandidaten.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Explizite historische, Vergleichs- und Listen-Queries umgehen den Current-Filter, sodass keine benötigten Zeitscheiben verloren gehen.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Produkt-Affinität verhindert, dass semantisch ähnliche, aber fachfremde Policen oder PDF-Chunks dominieren.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Die Modellwahl wird dadurch robuster gegen CRM-Records mit sehr ähnlichem Wortlaut.</w:t>
      </w:r>
    </w:p>
    <w:p>
      <w:r>
        <w:br w:type="page"/>
      </w:r>
    </w:p>
    <w:p>
      <w:pPr>
        <w:pStyle w:val="Heading2"/>
        <w:keepNext/>
        <w:spacing w:before="80" w:after="80"/>
      </w:pPr>
      <w:r>
        <w:rPr>
          <w:rFonts w:ascii="Calibri" w:hAnsi="Calibri"/>
          <w:color w:val="1F4E79"/>
        </w:rPr>
        <w:t>5. Ergebnisse nach der Filterkorrektur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18"/>
        <w:gridCol w:w="1718"/>
        <w:gridCol w:w="1718"/>
        <w:gridCol w:w="1718"/>
        <w:gridCol w:w="1718"/>
        <w:gridCol w:w="1718"/>
      </w:tblGrid>
      <w:tr>
        <w:trPr>
          <w:tblHeader w:val="true"/>
        </w:trPr>
        <w:tc>
          <w:tcPr>
            <w:tcW w:type="dxa" w:w="2520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Modell</w:t>
            </w:r>
          </w:p>
        </w:tc>
        <w:tc>
          <w:tcPr>
            <w:tcW w:type="dxa" w:w="936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Top-1</w:t>
            </w:r>
          </w:p>
        </w:tc>
        <w:tc>
          <w:tcPr>
            <w:tcW w:type="dxa" w:w="1008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MRR@5</w:t>
            </w:r>
          </w:p>
        </w:tc>
        <w:tc>
          <w:tcPr>
            <w:tcW w:type="dxa" w:w="1080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nDCG@5</w:t>
            </w:r>
          </w:p>
        </w:tc>
        <w:tc>
          <w:tcPr>
            <w:tcW w:type="dxa" w:w="1944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Median</w:t>
            </w:r>
          </w:p>
        </w:tc>
        <w:tc>
          <w:tcPr>
            <w:tcW w:type="dxa" w:w="2736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Relativ zu MiniLM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MiniLM L6</w:t>
            </w:r>
          </w:p>
        </w:tc>
        <w:tc>
          <w:tcPr>
            <w:tcW w:type="dxa" w:w="93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0,969</w:t>
            </w:r>
          </w:p>
        </w:tc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0,982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0,986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467,8 ms</w:t>
            </w:r>
          </w:p>
        </w:tc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1,00×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mMARCO L12</w:t>
            </w:r>
          </w:p>
        </w:tc>
        <w:tc>
          <w:tcPr>
            <w:tcW w:type="dxa" w:w="93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1,000</w:t>
            </w:r>
          </w:p>
        </w:tc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1,000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1,000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843,5 ms</w:t>
            </w:r>
          </w:p>
        </w:tc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1,80× langsamer</w:t>
            </w:r>
          </w:p>
        </w:tc>
      </w:tr>
      <w:tr>
        <w:trPr>
          <w:cantSplit/>
        </w:trPr>
        <w:tc>
          <w:tcPr>
            <w:tcW w:type="dxa" w:w="252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BGE Base</w:t>
            </w:r>
          </w:p>
        </w:tc>
        <w:tc>
          <w:tcPr>
            <w:tcW w:type="dxa" w:w="93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1,000</w:t>
            </w:r>
          </w:p>
        </w:tc>
        <w:tc>
          <w:tcPr>
            <w:tcW w:type="dxa" w:w="100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1,000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1,000</w:t>
            </w:r>
          </w:p>
        </w:tc>
        <w:tc>
          <w:tcPr>
            <w:tcW w:type="dxa" w:w="194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4.889,3 ms</w:t>
            </w:r>
          </w:p>
        </w:tc>
        <w:tc>
          <w:tcPr>
            <w:tcW w:type="dxa" w:w="273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10,45× langsamer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80" w:after="80"/>
      </w:pPr>
      <w:r>
        <w:rPr>
          <w:rFonts w:ascii="Calibri" w:hAnsi="Calibri"/>
          <w:color w:val="1F4E79"/>
        </w:rPr>
        <w:t>Sprachgruppen MiniLM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</w:trPr>
        <w:tc>
          <w:tcPr>
            <w:tcW w:type="dxa" w:w="4032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Sprache</w:t>
            </w:r>
          </w:p>
        </w:tc>
        <w:tc>
          <w:tcPr>
            <w:tcW w:type="dxa" w:w="2016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Top-1</w:t>
            </w:r>
          </w:p>
        </w:tc>
        <w:tc>
          <w:tcPr>
            <w:tcW w:type="dxa" w:w="2016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MRR@5</w:t>
            </w:r>
          </w:p>
        </w:tc>
        <w:tc>
          <w:tcPr>
            <w:tcW w:type="dxa" w:w="2160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nDCG@5</w:t>
            </w:r>
          </w:p>
        </w:tc>
      </w:tr>
      <w:tr>
        <w:trPr>
          <w:cantSplit/>
        </w:trPr>
        <w:tc>
          <w:tcPr>
            <w:tcW w:type="dxa" w:w="403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Englisch</w:t>
            </w:r>
          </w:p>
        </w:tc>
        <w:tc>
          <w:tcPr>
            <w:tcW w:type="dxa" w:w="201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1,000</w:t>
            </w:r>
          </w:p>
        </w:tc>
        <w:tc>
          <w:tcPr>
            <w:tcW w:type="dxa" w:w="201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1,000</w:t>
            </w:r>
          </w:p>
        </w:tc>
        <w:tc>
          <w:tcPr>
            <w:tcW w:type="dxa" w:w="216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1,000</w:t>
            </w:r>
          </w:p>
        </w:tc>
      </w:tr>
      <w:tr>
        <w:trPr>
          <w:cantSplit/>
        </w:trPr>
        <w:tc>
          <w:tcPr>
            <w:tcW w:type="dxa" w:w="403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Deutsch</w:t>
            </w:r>
          </w:p>
        </w:tc>
        <w:tc>
          <w:tcPr>
            <w:tcW w:type="dxa" w:w="201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0,958</w:t>
            </w:r>
          </w:p>
        </w:tc>
        <w:tc>
          <w:tcPr>
            <w:tcW w:type="dxa" w:w="201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0,979</w:t>
            </w:r>
          </w:p>
        </w:tc>
        <w:tc>
          <w:tcPr>
            <w:tcW w:type="dxa" w:w="216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0,985</w:t>
            </w:r>
          </w:p>
        </w:tc>
      </w:tr>
      <w:tr>
        <w:trPr>
          <w:cantSplit/>
        </w:trPr>
        <w:tc>
          <w:tcPr>
            <w:tcW w:type="dxa" w:w="403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Gemischt</w:t>
            </w:r>
          </w:p>
        </w:tc>
        <w:tc>
          <w:tcPr>
            <w:tcW w:type="dxa" w:w="201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0,938</w:t>
            </w:r>
          </w:p>
        </w:tc>
        <w:tc>
          <w:tcPr>
            <w:tcW w:type="dxa" w:w="201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0,958</w:t>
            </w:r>
          </w:p>
        </w:tc>
        <w:tc>
          <w:tcPr>
            <w:tcW w:type="dxa" w:w="216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0,969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E2F0D9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1F1F"/>
                <w:sz w:val="18"/>
              </w:rPr>
              <w:t>Entscheidung: MiniLM war für den primären englischen Workload qualitativ gleichauf mit den größeren Modellen, aber deutlich schneller. Der kleine Qualitätsabstand im deutschen/gemischten Gesamtdatensatz wurde dokumentiert und nicht verschwiegen.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80" w:after="80"/>
      </w:pPr>
      <w:r>
        <w:rPr>
          <w:rFonts w:ascii="Calibri" w:hAnsi="Calibri"/>
          <w:color w:val="1F4E79"/>
        </w:rPr>
        <w:t>Projekt-Runtime-Verifikation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Alle 64 MiniLM-Rankings waren im bestehenden Projekt-Runtime identisch zum isolierten Lauf.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Projekt-Runtime-Metriken: Top-1 0,922, MRR@5 0,958, nDCG@5 0,969 vor Filter; Median 463,1 ms.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Keine Dependency-Aktualisierung war für die produktive Aktivierung erforderlich.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Targeted activation tests: 22 passed, 0 failed.</w:t>
      </w:r>
    </w:p>
    <w:p>
      <w:r>
        <w:br w:type="page"/>
      </w:r>
    </w:p>
    <w:p>
      <w:pPr>
        <w:pStyle w:val="Heading2"/>
        <w:keepNext/>
        <w:spacing w:before="80" w:after="80"/>
      </w:pPr>
      <w:r>
        <w:rPr>
          <w:rFonts w:ascii="Calibri" w:hAnsi="Calibri"/>
          <w:color w:val="1F4E79"/>
        </w:rPr>
        <w:t>6. Wirkung in realen Combined-Läufen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62"/>
        <w:gridCol w:w="2062"/>
        <w:gridCol w:w="2062"/>
        <w:gridCol w:w="2062"/>
        <w:gridCol w:w="2062"/>
      </w:tblGrid>
      <w:tr>
        <w:trPr>
          <w:tblHeader w:val="true"/>
        </w:trPr>
        <w:tc>
          <w:tcPr>
            <w:tcW w:type="dxa" w:w="2376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Lauf</w:t>
            </w:r>
          </w:p>
        </w:tc>
        <w:tc>
          <w:tcPr>
            <w:tcW w:type="dxa" w:w="1080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Reranker</w:t>
            </w:r>
          </w:p>
        </w:tc>
        <w:tc>
          <w:tcPr>
            <w:tcW w:type="dxa" w:w="1296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Reranking</w:t>
            </w:r>
          </w:p>
        </w:tc>
        <w:tc>
          <w:tcPr>
            <w:tcW w:type="dxa" w:w="2232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E2E / Ergebnis</w:t>
            </w:r>
          </w:p>
        </w:tc>
        <w:tc>
          <w:tcPr>
            <w:tcW w:type="dxa" w:w="3240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Einordnung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Historische BGE Fixed-E2E Warm 1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BGE</w:t>
            </w:r>
          </w:p>
        </w:tc>
        <w:tc>
          <w:tcPr>
            <w:tcW w:type="dxa" w:w="129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12,900 s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21,832 s / PASS</w:t>
            </w:r>
          </w:p>
        </w:tc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Historische Referenz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Historische BGE Fixed-E2E Warm 2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BGE</w:t>
            </w:r>
          </w:p>
        </w:tc>
        <w:tc>
          <w:tcPr>
            <w:tcW w:type="dxa" w:w="129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13,311 s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ca. 21,8 s / PASS</w:t>
            </w:r>
          </w:p>
        </w:tc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Historische Referenz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MiniLM Aktivierung Warm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MiniLM</w:t>
            </w:r>
          </w:p>
        </w:tc>
        <w:tc>
          <w:tcPr>
            <w:tcW w:type="dxa" w:w="129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3,793 s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11,498 s / HTTP 200</w:t>
            </w:r>
          </w:p>
        </w:tc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Deutlicher praktischer Gewinn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Noah Theft 2026-08-04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MiniLM</w:t>
            </w:r>
          </w:p>
        </w:tc>
        <w:tc>
          <w:tcPr>
            <w:tcW w:type="dxa" w:w="129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13,011 s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HTTP 200 / fachlich FAIL</w:t>
            </w:r>
          </w:p>
        </w:tc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Reranker langsamster Schritt</w:t>
            </w:r>
          </w:p>
        </w:tc>
      </w:tr>
      <w:tr>
        <w:trPr>
          <w:cantSplit/>
        </w:trPr>
        <w:tc>
          <w:tcPr>
            <w:tcW w:type="dxa" w:w="237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Noah Theft 2026-08-05</w:t>
            </w:r>
          </w:p>
        </w:tc>
        <w:tc>
          <w:tcPr>
            <w:tcW w:type="dxa" w:w="108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MiniLM</w:t>
            </w:r>
          </w:p>
        </w:tc>
        <w:tc>
          <w:tcPr>
            <w:tcW w:type="dxa" w:w="129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18,958 s</w:t>
            </w:r>
          </w:p>
        </w:tc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47,403 s / technisch PASS</w:t>
            </w:r>
          </w:p>
        </w:tc>
        <w:tc>
          <w:tcPr>
            <w:tcW w:type="dxa" w:w="324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Hohe Live-Varianz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FFF2CC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8" w:color="BF9000"/>
              <w:left w:val="single" w:sz="8" w:color="BF9000"/>
              <w:bottom w:val="single" w:sz="8" w:color="BF9000"/>
              <w:right w:val="single" w:sz="8" w:color="BF9000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1F1F"/>
                <w:sz w:val="18"/>
              </w:rPr>
              <w:t>Die BGE- und MiniLM-Live-Werte sind kein kontrollierter A/B-Test: Zeitpunkt, Hostzustand, Kandidatenmenge und Pipelinezustand unterscheiden sich. Der belastbare Modellvergleich bleibt der isolierte Post-Filter-Benchmark.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80" w:after="80"/>
      </w:pPr>
      <w:r>
        <w:rPr>
          <w:rFonts w:ascii="Calibri" w:hAnsi="Calibri"/>
          <w:color w:val="1F4E79"/>
        </w:rPr>
        <w:t>Retrieval-Wirkung im jüngsten Noah-Test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Die korrekte aktive Police TEST-KFZ-2026-1701 wurde ausgewählt; die fachfremde Rechtsschutzpolice wurde verworfen.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Alle drei erforderlichen PDF-Evidence-Gruppen wurden gefunden: Teilkasko/Theft, Theft Scope/Family Exclusion und Police-/Recovery-Duties.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Evidence Recall betrug 1,00; Context Precision betrug 0,60, weil zwei angrenzende Chunks fachlich nicht nötig waren.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Der finale fachliche Fehler entstand erst in der Antwortgenerierung: Der Page-17-Chunk war im Context, wurde aber in der Antwort nicht verwendet.</w:t>
      </w:r>
    </w:p>
    <w:p>
      <w:pPr>
        <w:spacing w:after="80" w:line="252" w:lineRule="auto"/>
      </w:pPr>
      <w:r>
        <w:rPr>
          <w:rFonts w:ascii="Calibri" w:hAnsi="Calibri"/>
          <w:b w:val="0"/>
          <w:color w:val="1F1F1F"/>
          <w:sz w:val="19"/>
        </w:rPr>
        <w:t>Damit ist belegt: Der neue Reranking-Pfad hat die benötigte Evidenz bereitgestellt. Er hat den letzten Antwortfehler nicht verursacht, aber die Live-Latenz ist noch nicht durchgehend zufriedenstellend.</w:t>
      </w:r>
    </w:p>
    <w:p>
      <w:r>
        <w:br w:type="page"/>
      </w:r>
    </w:p>
    <w:p>
      <w:pPr>
        <w:pStyle w:val="Heading2"/>
        <w:keepNext/>
        <w:spacing w:before="80" w:after="80"/>
      </w:pPr>
      <w:r>
        <w:rPr>
          <w:rFonts w:ascii="Calibri" w:hAnsi="Calibri"/>
          <w:color w:val="1F4E79"/>
        </w:rPr>
        <w:t>7. Positiver Effekt gegenüber dem früheren Reranker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rPr>
          <w:tblHeader w:val="true"/>
        </w:trPr>
        <w:tc>
          <w:tcPr>
            <w:tcW w:type="dxa" w:w="2232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Dimension</w:t>
            </w:r>
          </w:p>
        </w:tc>
        <w:tc>
          <w:tcPr>
            <w:tcW w:type="dxa" w:w="2088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Vorher: BGE</w:t>
            </w:r>
          </w:p>
        </w:tc>
        <w:tc>
          <w:tcPr>
            <w:tcW w:type="dxa" w:w="2952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Nachher: MiniLM + Filter</w:t>
            </w:r>
          </w:p>
        </w:tc>
        <w:tc>
          <w:tcPr>
            <w:tcW w:type="dxa" w:w="2952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Effekt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Modellgröße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278,0 M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22,7 M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ca. 91,8 % weniger Parameter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Post-Filter Median CPU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4.889,3 ms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467,8 ms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ca. 90,4 % weniger; 10,45× schneller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64-Fall Raw Median CPU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5.687,7 ms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394,4 ms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ca. 93,1 % weniger; 14,42× schneller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Englische Filterqualität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1,000 / 1,000 / 1,000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1,000 / 1,000 / 1,000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Kein messbarer Verlust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Current-Policy Lara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Raw FAIL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Filtered PASS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Deterministische zeitliche Auswahl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Produktkonsistenz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Primär semantisch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Prefilter + Affinität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Weniger fachfremde Kandidaten</w:t>
            </w:r>
          </w:p>
        </w:tc>
      </w:tr>
      <w:tr>
        <w:trPr>
          <w:cantSplit/>
        </w:trPr>
        <w:tc>
          <w:tcPr>
            <w:tcW w:type="dxa" w:w="223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Diagnostik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Begrenzt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Scores + Filter + Prioritäten</w:t>
            </w:r>
          </w:p>
        </w:tc>
        <w:tc>
          <w:tcPr>
            <w:tcW w:type="dxa" w:w="2952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Fehler besser lokalisierbar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80" w:after="80"/>
      </w:pPr>
      <w:r>
        <w:rPr>
          <w:rFonts w:ascii="Calibri" w:hAnsi="Calibri"/>
          <w:color w:val="1F4E79"/>
        </w:rPr>
        <w:t>Konkreter Nutzen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Schnelleres Warm-Reranking im kontrollierten Benchmark und im ersten produktiven Warm-E2E.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Weniger CPU-Last pro Kandidat durch das deutlich kleinere Modell.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Korrekte aktuelle Police bei eindeutigen Current-Queries durch den vorgeschalteten Metadatenfilter.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Bessere Trennung von Produktdomänen und dadurch konsistenterer CRM/PDF-Context.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Erhalt vollständiger, query-relevanter Evidence-Paare trotz rein numerischer Score-Unterschiede.</w:t>
      </w:r>
    </w:p>
    <w:p>
      <w:pPr>
        <w:spacing w:after="40"/>
        <w:ind w:left="317" w:hanging="230"/>
      </w:pPr>
      <w:r>
        <w:rPr>
          <w:rFonts w:ascii="Calibri" w:hAnsi="Calibri"/>
          <w:color w:val="1F1F1F"/>
          <w:sz w:val="18"/>
        </w:rPr>
        <w:t>•  Keine Abhängigkeitsmigration und kein Chroma-Reindex für die Modellaktivierung erforderlich.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DDEBF7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8" w:color="5B9BD5"/>
              <w:left w:val="single" w:sz="8" w:color="5B9BD5"/>
              <w:bottom w:val="single" w:sz="8" w:color="5B9BD5"/>
              <w:right w:val="single" w:sz="8" w:color="5B9BD5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1F1F"/>
                <w:sz w:val="18"/>
              </w:rPr>
              <w:t>Der wichtigste qualitative Eindruck ist nicht 'MiniLM ist immer besser als BGE'. Korrekt ist: Für den englischen Ziel-Workload liefert MiniLM nach fachlicher Vorfilterung dieselbe gemessene Qualität mit deutlich geringerer kontrollierter CPU-Latenz. Für deutsch/gemischt bleibt BGE im Benchmark minimal stärker.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80" w:after="80"/>
      </w:pPr>
      <w:r>
        <w:rPr>
          <w:rFonts w:ascii="Calibri" w:hAnsi="Calibri"/>
          <w:color w:val="1F4E79"/>
        </w:rPr>
        <w:t>8. Grenzen und nächste Optimierung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rPr>
          <w:tblHeader w:val="true"/>
        </w:trPr>
        <w:tc>
          <w:tcPr>
            <w:tcW w:type="dxa" w:w="3528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Beobachtung</w:t>
            </w:r>
          </w:p>
        </w:tc>
        <w:tc>
          <w:tcPr>
            <w:tcW w:type="dxa" w:w="2088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Bewertung</w:t>
            </w:r>
          </w:p>
        </w:tc>
        <w:tc>
          <w:tcPr>
            <w:tcW w:type="dxa" w:w="4608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6"/>
              </w:rPr>
              <w:t>Konsequenz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Spätere MiniLM-Live-Reranking-Zeiten 13–19 s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Nicht interaktiv gut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Candidate count, Adapter und CPU-Profiling getrennt messen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Context Precision im jüngsten Noah-Lauf 0,60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Verbesserbar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Irrelevante Neighbor-Chunks strenger entfernen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Deutsch/gemischt unter BGE/mMARCO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Dokumentierter Trade-off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Mehrsprachiges Set vor Workload-Änderung neu bewerten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Letzter Answer-Fail trotz vollständigem Context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Kein Reranker-Fehler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Generierungs-Completeness gezielt und query-spezifisch prüfen</w:t>
            </w:r>
          </w:p>
        </w:tc>
      </w:tr>
      <w:tr>
        <w:trPr>
          <w:cantSplit/>
        </w:trPr>
        <w:tc>
          <w:tcPr>
            <w:tcW w:type="dxa" w:w="352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Historische Live-Vergleiche nicht identisch</w:t>
            </w:r>
          </w:p>
        </w:tc>
        <w:tc>
          <w:tcPr>
            <w:tcW w:type="dxa" w:w="208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Keine harte A/B-Aussage</w:t>
            </w:r>
          </w:p>
        </w:tc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6"/>
              </w:rPr>
              <w:t>Gleiche Kandidaten, Warm-up und Hostzustand benchmarken</w:t>
            </w:r>
          </w:p>
        </w:tc>
      </w:tr>
    </w:tbl>
    <w:p>
      <w:pPr>
        <w:spacing w:after="20"/>
      </w:pPr>
    </w:p>
    <w:p>
      <w:pPr>
        <w:pStyle w:val="Heading3"/>
        <w:keepNext/>
        <w:spacing w:before="80" w:after="80"/>
      </w:pPr>
      <w:r>
        <w:rPr>
          <w:rFonts w:ascii="Calibri" w:hAnsi="Calibri"/>
          <w:color w:val="1F4E79"/>
        </w:rPr>
        <w:t>Kleinster notwendiger nächster Schritt</w:t>
      </w:r>
    </w:p>
    <w:p>
      <w:pPr>
        <w:spacing w:after="80" w:line="252" w:lineRule="auto"/>
      </w:pPr>
      <w:r>
        <w:rPr>
          <w:rFonts w:ascii="Calibri" w:hAnsi="Calibri"/>
          <w:b w:val="0"/>
          <w:color w:val="1F1F1F"/>
          <w:sz w:val="19"/>
        </w:rPr>
        <w:t>Ein reproduzierbarer Pipeline-naher Reranker-Benchmark sollte dieselben bereits gespeicherten Kandidaten für BGE und MiniLM verwenden, Kandidatenanzahl und Textlänge konstant halten und Modell-Inferenz getrennt von Lazy Load, Produkt-Prefilter, Neighbor-Preservation und Thread-Overhead messen. Erst dann lässt sich die aktuelle 13–19-s-Live-Varianz technisch eindeutig zuordnen.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10"/>
      </w:tblGrid>
      <w:tr>
        <w:tc>
          <w:tcPr>
            <w:tcW w:type="dxa" w:w="10310"/>
            <w:shd w:fill="E2F0D9"/>
            <w:tcMar>
              <w:top w:w="125" w:type="dxa"/>
              <w:start w:w="125" w:type="dxa"/>
              <w:bottom w:w="125" w:type="dxa"/>
              <w:end w:w="125" w:type="dxa"/>
            </w:tcMar>
            <w:tcBorders>
              <w:top w:val="single" w:sz="8" w:color="70AD47"/>
              <w:left w:val="single" w:sz="8" w:color="70AD47"/>
              <w:bottom w:val="single" w:sz="8" w:color="70AD47"/>
              <w:right w:val="single" w:sz="8" w:color="70AD47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color w:val="1F1F1F"/>
                <w:sz w:val="18"/>
              </w:rPr>
              <w:t>Empfehlung: MiniLM beibehalten. Kein Rückwechsel zu BGE ist durch die vorhandenen Ergebnisse begründet. Priorität hat die Laufzeitprofilierung des produktiven Adapterpfads und die Reduktion irrelevanter finaler Chunks, nicht ein erneuter Modellwechsel.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80" w:after="80"/>
      </w:pPr>
      <w:r>
        <w:rPr>
          <w:rFonts w:ascii="Calibri" w:hAnsi="Calibri"/>
          <w:color w:val="1F4E79"/>
        </w:rPr>
        <w:t>9. Schlussfolgerung</w:t>
      </w:r>
    </w:p>
    <w:p>
      <w:pPr>
        <w:spacing w:after="80" w:line="252" w:lineRule="auto"/>
      </w:pPr>
      <w:r>
        <w:rPr>
          <w:rFonts w:ascii="Calibri" w:hAnsi="Calibri"/>
          <w:b w:val="0"/>
          <w:color w:val="1F1F1F"/>
          <w:sz w:val="19"/>
        </w:rPr>
        <w:t>Die Umstellung auf cross-encoder/ms-marco-MiniLM-L-6-v2 war fachlich und technisch begründet, nachdem der Current-Policy-Filter die strukturierte Vertragsauswahl übernommen hatte. Im maßgeblichen Post-Filter-Benchmark erreichte MiniLM für englische Queries perfekte Ranking-Metriken und war gegenüber BGE rund 10,45-mal schneller. Im erweiterten Raw-Benchmark lag der Geschwindigkeitsvorteil bei rund 14,42-mal.</w:t>
      </w:r>
    </w:p>
    <w:p>
      <w:pPr>
        <w:spacing w:after="80" w:line="252" w:lineRule="auto"/>
      </w:pPr>
      <w:r>
        <w:rPr>
          <w:rFonts w:ascii="Calibri" w:hAnsi="Calibri"/>
          <w:b w:val="0"/>
          <w:color w:val="1F1F1F"/>
          <w:sz w:val="19"/>
        </w:rPr>
        <w:t>Die Änderung verbesserte damit die Effizienz ohne messbaren Qualitätsverlust im englischen Ziel-Workload. Zusätzlich erhöhten Produkt-Prefilter, Evidence-Priority und Neighbor-Preservation die fachliche Konsistenz des finalen Contexts. Die korrekte Policy-Auswahl ist allerdings primär dem deterministischen Metadatenfilter zuzuschreiben, nicht dem Modell allein.</w:t>
      </w:r>
    </w:p>
    <w:p>
      <w:pPr>
        <w:spacing w:after="80" w:line="252" w:lineRule="auto"/>
      </w:pPr>
      <w:r>
        <w:rPr>
          <w:rFonts w:ascii="Calibri" w:hAnsi="Calibri"/>
          <w:b w:val="0"/>
          <w:color w:val="1F1F1F"/>
          <w:sz w:val="19"/>
        </w:rPr>
        <w:t>Die spätere Live-Telemetrie zeigt dennoch, dass der Reranker weiterhin der langsamste Pipeline-Schritt sein kann. Das relativiert nicht den kontrollierten Modellvorteil, verhindert aber die Aussage, die Live-Latenz sei bereits abschließend gelöst. Der letzte Noah-Test bestätigt zugleich, dass die benötigte Evidenz vollständig retrieved wurde; sein fachlicher FAIL entstand durch eine unvollständige Antwortgenerierung.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tblHeader w:val="true"/>
        </w:trPr>
        <w:tc>
          <w:tcPr>
            <w:tcW w:type="dxa" w:w="4608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Gesamturteil</w:t>
            </w:r>
          </w:p>
        </w:tc>
        <w:tc>
          <w:tcPr>
            <w:tcW w:type="dxa" w:w="5616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7"/>
              </w:rPr>
              <w:t>Bewertung</w:t>
            </w:r>
          </w:p>
        </w:tc>
      </w:tr>
      <w:tr>
        <w:trPr>
          <w:cantSplit/>
        </w:trPr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7"/>
              </w:rPr>
              <w:t>Modellentscheidung</w:t>
            </w:r>
          </w:p>
        </w:tc>
        <w:tc>
          <w:tcPr>
            <w:tcW w:type="dxa" w:w="561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7"/>
              </w:rPr>
              <w:t>BEGRÜNDET</w:t>
            </w:r>
          </w:p>
        </w:tc>
      </w:tr>
      <w:tr>
        <w:trPr>
          <w:cantSplit/>
        </w:trPr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7"/>
              </w:rPr>
              <w:t>Ranking-Qualität Englisch</w:t>
            </w:r>
          </w:p>
        </w:tc>
        <w:tc>
          <w:tcPr>
            <w:tcW w:type="dxa" w:w="561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7"/>
              </w:rPr>
              <w:t>Kontrollierte CPU-Latenz</w:t>
            </w:r>
          </w:p>
        </w:tc>
        <w:tc>
          <w:tcPr>
            <w:tcW w:type="dxa" w:w="561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7"/>
              </w:rPr>
              <w:t>DEUTLICH VERBESSERT</w:t>
            </w:r>
          </w:p>
        </w:tc>
      </w:tr>
      <w:tr>
        <w:trPr>
          <w:cantSplit/>
        </w:trPr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7"/>
              </w:rPr>
              <w:t>Current-Policy-Konsistenz</w:t>
            </w:r>
          </w:p>
        </w:tc>
        <w:tc>
          <w:tcPr>
            <w:tcW w:type="dxa" w:w="561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7"/>
              </w:rPr>
              <w:t>PASS DURCH FILTER</w:t>
            </w:r>
          </w:p>
        </w:tc>
      </w:tr>
      <w:tr>
        <w:trPr>
          <w:cantSplit/>
        </w:trPr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7"/>
              </w:rPr>
              <w:t>Live-Latenz</w:t>
            </w:r>
          </w:p>
        </w:tc>
        <w:tc>
          <w:tcPr>
            <w:tcW w:type="dxa" w:w="5616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7"/>
              </w:rPr>
              <w:t>WEITER OPTIMIEREN</w:t>
            </w:r>
          </w:p>
        </w:tc>
      </w:tr>
      <w:tr>
        <w:trPr>
          <w:cantSplit/>
        </w:trPr>
        <w:tc>
          <w:tcPr>
            <w:tcW w:type="dxa" w:w="4608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7"/>
              </w:rPr>
              <w:t>Rückwechsel zu BGE</w:t>
            </w:r>
          </w:p>
        </w:tc>
        <w:tc>
          <w:tcPr>
            <w:tcW w:type="dxa" w:w="5616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7"/>
              </w:rPr>
              <w:t>NICHT EMPFOHLEN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2"/>
        <w:keepNext/>
        <w:spacing w:before="80" w:after="80"/>
      </w:pPr>
      <w:r>
        <w:rPr>
          <w:rFonts w:ascii="Calibri" w:hAnsi="Calibri"/>
          <w:color w:val="1F4E79"/>
        </w:rPr>
        <w:t>Anhang: Nachweisquellen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55"/>
        <w:gridCol w:w="5155"/>
      </w:tblGrid>
      <w:tr>
        <w:trPr>
          <w:tblHeader w:val="true"/>
        </w:trPr>
        <w:tc>
          <w:tcPr>
            <w:tcW w:type="dxa" w:w="6264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Datei</w:t>
            </w:r>
          </w:p>
        </w:tc>
        <w:tc>
          <w:tcPr>
            <w:tcW w:type="dxa" w:w="3960"/>
            <w:shd w:fill="1F4E78"/>
            <w:tcMar>
              <w:top w:w="85" w:type="dxa"/>
              <w:start w:w="85" w:type="dxa"/>
              <w:bottom w:w="85" w:type="dxa"/>
              <w:end w:w="85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5"/>
              </w:rPr>
              <w:t>Verwendeter Nachweis</w:t>
            </w:r>
          </w:p>
        </w:tc>
      </w:tr>
      <w:tr>
        <w:trPr>
          <w:cantSplit/>
        </w:trPr>
        <w:tc>
          <w:tcPr>
            <w:tcW w:type="dxa" w:w="626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reports/reranker_benchmark_isolated_20260801.md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Vier Modelle, 6 Fälle, Qualität und Latenz</w:t>
            </w:r>
          </w:p>
        </w:tc>
      </w:tr>
      <w:tr>
        <w:trPr>
          <w:cantSplit/>
        </w:trPr>
        <w:tc>
          <w:tcPr>
            <w:tcW w:type="dxa" w:w="626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reports/reranker_regression_benchmark_20260801.md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64 Raw-Fälle, BGE versus MiniLM</w:t>
            </w:r>
          </w:p>
        </w:tc>
      </w:tr>
      <w:tr>
        <w:trPr>
          <w:cantSplit/>
        </w:trPr>
        <w:tc>
          <w:tcPr>
            <w:tcW w:type="dxa" w:w="626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reports/reranker_post_filter_benchmark_20260801.md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64 Post-Filter-Fälle, Sprachgruppen, mMARCO</w:t>
            </w:r>
          </w:p>
        </w:tc>
      </w:tr>
      <w:tr>
        <w:trPr>
          <w:cantSplit/>
        </w:trPr>
        <w:tc>
          <w:tcPr>
            <w:tcW w:type="dxa" w:w="626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reports/reranker_regression_decision_20260801.md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Ursprüngliche Nicht-Aktivierung vor Filter</w:t>
            </w:r>
          </w:p>
        </w:tc>
      </w:tr>
      <w:tr>
        <w:trPr>
          <w:cantSplit/>
        </w:trPr>
        <w:tc>
          <w:tcPr>
            <w:tcW w:type="dxa" w:w="626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reports/reranker_regression_minilm_project_runtime_20260801.md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Runtime-Kompatibilität</w:t>
            </w:r>
          </w:p>
        </w:tc>
      </w:tr>
      <w:tr>
        <w:trPr>
          <w:cantSplit/>
        </w:trPr>
        <w:tc>
          <w:tcPr>
            <w:tcW w:type="dxa" w:w="626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reports/reranker_minilm_production_activation_20260801.md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Aktivierung, 22 Tests, Live-Laufzeiten</w:t>
            </w:r>
          </w:p>
        </w:tc>
      </w:tr>
      <w:tr>
        <w:trPr>
          <w:cantSplit/>
        </w:trPr>
        <w:tc>
          <w:tcPr>
            <w:tcW w:type="dxa" w:w="626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reports/combined_crm_rag_windscreen_e2e_fixed_20260729T102604Z.md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Historische BGE-E2E-Referenz</w:t>
            </w:r>
          </w:p>
        </w:tc>
      </w:tr>
      <w:tr>
        <w:trPr>
          <w:cantSplit/>
        </w:trPr>
        <w:tc>
          <w:tcPr>
            <w:tcW w:type="dxa" w:w="626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reports/combined_noah_theft_pipeline_review_20260804.md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MiniLM Live-Reranking 13,011 s</w:t>
            </w:r>
          </w:p>
        </w:tc>
      </w:tr>
      <w:tr>
        <w:trPr>
          <w:cantSplit/>
        </w:trPr>
        <w:tc>
          <w:tcPr>
            <w:tcW w:type="dxa" w:w="626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tmp/diagnostics/request_2ef81d3d0956484a80578f1710a9b2a5.json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Jüngster Noah-Lauf: 18,958 s, Evidence Recall 1,00</w:t>
            </w:r>
          </w:p>
        </w:tc>
      </w:tr>
      <w:tr>
        <w:trPr>
          <w:cantSplit/>
        </w:trPr>
        <w:tc>
          <w:tcPr>
            <w:tcW w:type="dxa" w:w="626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src/core/current_policy.py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Deterministischer Current-Policy-Selector</w:t>
            </w:r>
          </w:p>
        </w:tc>
      </w:tr>
      <w:tr>
        <w:trPr>
          <w:cantSplit/>
        </w:trPr>
        <w:tc>
          <w:tcPr>
            <w:tcW w:type="dxa" w:w="6264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src/api/rag_service.py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Product prefilter, score, evidence priority, neighbor preservation</w:t>
            </w:r>
          </w:p>
        </w:tc>
      </w:tr>
      <w:tr>
        <w:trPr>
          <w:cantSplit/>
        </w:trPr>
        <w:tc>
          <w:tcPr>
            <w:tcW w:type="dxa" w:w="6264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.env</w:t>
            </w:r>
          </w:p>
        </w:tc>
        <w:tc>
          <w:tcPr>
            <w:tcW w:type="dxa" w:w="3960"/>
            <w:tcMar>
              <w:top w:w="85" w:type="dxa"/>
              <w:start w:w="85" w:type="dxa"/>
              <w:bottom w:w="85" w:type="dxa"/>
              <w:end w:w="85" w:type="dxa"/>
            </w:tcMar>
            <w:shd w:fill="EAF3F8"/>
          </w:tcPr>
          <w:p>
            <w:pPr>
              <w:spacing w:after="0" w:line="240" w:lineRule="auto"/>
            </w:pPr>
            <w:r>
              <w:rPr>
                <w:rFonts w:ascii="Calibri" w:hAnsi="Calibri"/>
                <w:color w:val="1F1F1F"/>
                <w:sz w:val="15"/>
              </w:rPr>
              <w:t>Aktive MiniLM-Konfiguration, FP16 false</w:t>
            </w:r>
          </w:p>
        </w:tc>
      </w:tr>
    </w:tbl>
    <w:p>
      <w:pPr>
        <w:spacing w:after="20"/>
      </w:pPr>
    </w:p>
    <w:p>
      <w:pPr>
        <w:spacing w:after="80" w:line="252" w:lineRule="auto"/>
      </w:pPr>
      <w:r>
        <w:rPr>
          <w:rFonts w:ascii="Calibri" w:hAnsi="Calibri"/>
          <w:b w:val="0"/>
          <w:color w:val="1F1F1F"/>
          <w:sz w:val="17"/>
        </w:rPr>
        <w:t>Hinweis: Die historischen BGE- und MiniLM-E2E-Läufe sind als indikative Live-Belege gekennzeichnet. Die prozentualen Modellvergleiche stammen ausschließlich aus kontrollierten Benchmarks mit gleicher Kandidatenbasis.</w:t>
      </w:r>
    </w:p>
    <w:sectPr w:rsidR="00FC693F" w:rsidRPr="0006063C" w:rsidSect="00034616">
      <w:footerReference w:type="default" r:id="rId9"/>
      <w:pgSz w:w="12240" w:h="15840"/>
      <w:pgMar w:top="965" w:right="965" w:bottom="850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8" w:space="5" w:color="5B9BD5"/>
      </w:pBdr>
    </w:pPr>
    <w:r>
      <w:rPr>
        <w:rFonts w:ascii="Calibri" w:hAnsi="Calibri"/>
        <w:sz w:val="16"/>
      </w:rPr>
      <w:fldChar w:fldCharType="begin"/>
      <w:instrText xml:space="preserve"> PAGE 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F4E79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Reranker-Wechsel: Vergleich und Wirkung</dc:title>
  <dc:subject>Vergleich BGE, MiniLM, mMARCO und Ettin</dc:subject>
  <dc:creator>Codex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