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widowControl/>
        <w:keepNext/>
      </w:pPr>
      <w:r>
        <w:rPr>
          <w:rFonts w:ascii="Times New Roman" w:hAnsi="Times New Roman" w:eastAsia="Times New Roman" w:cs="Times New Roman"/>
          <w:b/>
          <w:color w:val="000000"/>
          <w:sz w:val="40"/>
        </w:rPr>
        <w:t>6 Diskussion</w:t>
      </w:r>
    </w:p>
    <w:p>
      <w:pPr>
        <w:jc w:val="both"/>
        <w:widowControl/>
      </w:pPr>
      <w:r>
        <w:rPr>
          <w:rFonts w:ascii="Times New Roman" w:hAnsi="Times New Roman" w:eastAsia="Times New Roman" w:cs="Times New Roman"/>
          <w:b w:val="0"/>
          <w:color w:val="000000"/>
          <w:sz w:val="22"/>
        </w:rPr>
        <w:t>Dieses Kapitel interpretiert die in Kapitel 5 dargestellten Ergebnisse im Hinblick auf die zentrale Forschungsfrage. Im Vordergrund steht nicht die erneute Wiedergabe einzelner Kennzahlen, sondern deren gemeinsame Bedeutung für die fachliche Korrektheit und Vollständigkeit, die quellenbasierte Nachvollziehbarkeit, die Sicherheit sowie die praktische Einsetzbarkeit des entwickelten Proof of Concept. Da die Ergebnisbasis aus mehreren, zeitlich und technisch unterschiedlichen Systemständen besteht, werden aktuelle Befunde und historische Referenzwerte weiterhin strikt getrennt. Insbesondere wird die Routing- und API-Evaluation vom 22. August 2026 als Nachweis des final integrierten Systemstands verstanden, während der QA- und Safety-Referenzlauf vom 25. Mai 2026 einen früheren RAG-Stand ohne die heutige CRM–RAG-Integration beschreibt.</w:t>
      </w:r>
    </w:p>
    <w:p>
      <w:pPr>
        <w:pStyle w:val="Heading2"/>
        <w:widowControl/>
        <w:keepNext/>
      </w:pPr>
      <w:r>
        <w:rPr>
          <w:rFonts w:ascii="Times New Roman" w:hAnsi="Times New Roman" w:eastAsia="Times New Roman" w:cs="Times New Roman"/>
          <w:b/>
          <w:color w:val="000000"/>
          <w:sz w:val="28"/>
        </w:rPr>
        <w:t>6.1 Ziel und Aufbau der Diskussion</w:t>
      </w:r>
    </w:p>
    <w:p>
      <w:pPr>
        <w:jc w:val="both"/>
        <w:widowControl/>
      </w:pPr>
      <w:r>
        <w:rPr>
          <w:rFonts w:ascii="Times New Roman" w:hAnsi="Times New Roman" w:eastAsia="Times New Roman" w:cs="Times New Roman"/>
          <w:b w:val="0"/>
          <w:color w:val="000000"/>
          <w:sz w:val="22"/>
        </w:rPr>
        <w:t>Ziel der Diskussion ist es, die Tragweite der empirischen Befunde zu bestimmen und zugleich Grenzen ihrer Aussagekraft offenzulegen. Hierzu werden zunächst die zentralen Ergebnisse eingeordnet und auf die Forschungsfrage zurückgeführt. Anschließend werden Retrieval und Reranking, Antwortqualität und Groundedness, Routing und Verarbeitungspfade, Sicherheit und Robustheit sowie Laufzeit und Ressourcenbedarf getrennt interpretiert. Darauf folgen der Vergleich mit verwandten Arbeiten, praktische Handlungsempfehlungen, Limitationen und Bedrohungen der Validität. Abschließend werden die wichtigsten Erkenntnisse und Konsequenzen zusammengeführt.</w:t>
      </w:r>
    </w:p>
    <w:p>
      <w:pPr>
        <w:jc w:val="both"/>
        <w:widowControl/>
      </w:pPr>
      <w:r>
        <w:rPr>
          <w:rFonts w:ascii="Times New Roman" w:hAnsi="Times New Roman" w:eastAsia="Times New Roman" w:cs="Times New Roman"/>
          <w:b w:val="0"/>
          <w:color w:val="000000"/>
          <w:sz w:val="22"/>
        </w:rPr>
        <w:t>Die Argumentation folgt der in Kapitel 3 festgelegten Trennung der Qualitätsdimensionen. Ein hoher Retrieval-Trefferanteil kann eine unvollständige Antwort nicht ausgleichen; eine technisch abgeschlossene Anfrage belegt weder fachliche Korrektheit noch Groundedness; und eine vorhandene Quellenangabe garantiert nicht, dass alle Aussagen durch diese Quelle gestützt werden. Die Diskussion vermeidet deshalb einen aggregierten Gesamtwert. Stattdessen wird geprüft, welche Anforderungen durch die vorliegenden Ergebnisse gestützt werden, wo nur technische Machbarkeit gezeigt wurde und welche Nachweise für einen Produktivbetrieb noch fehlen.</w:t>
      </w:r>
    </w:p>
    <w:p>
      <w:pPr>
        <w:pStyle w:val="Heading2"/>
        <w:widowControl/>
        <w:keepNext/>
      </w:pPr>
      <w:r>
        <w:rPr>
          <w:rFonts w:ascii="Times New Roman" w:hAnsi="Times New Roman" w:eastAsia="Times New Roman" w:cs="Times New Roman"/>
          <w:b/>
          <w:color w:val="000000"/>
          <w:sz w:val="28"/>
        </w:rPr>
        <w:t>6.2 Einordnung der zentralen Ergebnisse</w:t>
      </w:r>
    </w:p>
    <w:p>
      <w:pPr>
        <w:jc w:val="both"/>
        <w:widowControl/>
      </w:pPr>
      <w:r>
        <w:rPr>
          <w:rFonts w:ascii="Times New Roman" w:hAnsi="Times New Roman" w:eastAsia="Times New Roman" w:cs="Times New Roman"/>
          <w:b w:val="0"/>
          <w:color w:val="000000"/>
          <w:sz w:val="22"/>
        </w:rPr>
        <w:t>Die Ergebnisse zeigen zunächst, dass die entwickelte Architektur als integrierter Prototyp technisch funktionsfähig ist. Im aktuellen 80-Fall-Datensatz wurden CRM-only, RAG-only und Combined jeweils in allen 20 Fällen korrekt gewählt; beim Denied-Pfad wurden 19 von 20 Fällen korrekt erkannt. Daraus ergeben sich eine Routing Accuracy und ein Macro-F1 von jeweils 98,75 %. Strict End-to-End Success wurde ebenfalls in 79 von 80 Fällen erreicht. Unabhängig von der Korrektheit des Routings endeten alle 80 tatsächlich gewählten Verarbeitungspfade ohne Systemfehler in einem gültigen technischen oder kontrollierten Endzustand. Besonders relevant ist, dass zuvor beobachtete CRM- und Guardrail-Blocker nach einer korrekten Bereitstellung der CRM-Erweiterung, einem persistenten Modellcache und einer realen Readiness-Prüfung nicht mehr auftraten.</w:t>
      </w:r>
    </w:p>
    <w:p>
      <w:pPr>
        <w:jc w:val="both"/>
        <w:widowControl/>
      </w:pPr>
      <w:r>
        <w:rPr>
          <w:rFonts w:ascii="Times New Roman" w:hAnsi="Times New Roman" w:eastAsia="Times New Roman" w:cs="Times New Roman"/>
          <w:b w:val="0"/>
          <w:color w:val="000000"/>
          <w:sz w:val="22"/>
        </w:rPr>
        <w:t>Dieser operative Befund ist jedoch enger als eine vollständige Qualitätsaussage. Die aktuelle Evaluation bewertet primär Pfadauswahl und technische Ausführung, nicht jede erzeugte Antwort anhand humanvalidierter fachlicher Kriterien. Der einzelne Routingfehler bei der Anfrage „List every policy stored in CRM.“ zeigt zudem, dass ein deterministisches lexikalisches Routing trotz hoher Gesamtgenauigkeit an kleinen Formulierungsvarianten scheitern kann. Die hohe Erfolgsrate ist daher als Nachweis einer stabilen Verarbeitung des untersuchten Datensatzes zu verstehen, nicht als Garantie für beliebige natürliche Anfragen.</w:t>
      </w:r>
    </w:p>
    <w:p>
      <w:pPr>
        <w:jc w:val="both"/>
        <w:widowControl/>
      </w:pPr>
      <w:r>
        <w:rPr>
          <w:rFonts w:ascii="Times New Roman" w:hAnsi="Times New Roman" w:eastAsia="Times New Roman" w:cs="Times New Roman"/>
          <w:b w:val="0"/>
          <w:color w:val="000000"/>
          <w:sz w:val="22"/>
        </w:rPr>
        <w:t>Auf Komponentenebene war das Retrieval im historischen Referenzlauf mit einer Retrieval Support Hit Rate von 97,5 % breit abdeckend. Die Context Precision von 0,635 zeigt allerdings, dass der bereitgestellte Kontext häufig zusätzliche oder nur teilweise relevante Passagen enthielt. Der mittlere Token F1 von 0,173, die Source Presence Rate von 91,0 % und die Citation Support Rate von 0,597 bestätigen, dass erfolgreiche Evidenzsuche nicht automatisch in präzise, vollständige und lückenlos belegte Antworten übergeht. Wegen des damaligen Modells und des fehlenden heutigen CRM–RAG-Aufbaus dürfen diese Werte nicht als aktuelle End-to-End-Leistung interpretiert werden.</w:t>
      </w:r>
    </w:p>
    <w:p>
      <w:pPr>
        <w:jc w:val="both"/>
        <w:widowControl/>
      </w:pPr>
      <w:r>
        <w:rPr>
          <w:rFonts w:ascii="Times New Roman" w:hAnsi="Times New Roman" w:eastAsia="Times New Roman" w:cs="Times New Roman"/>
          <w:b w:val="0"/>
          <w:color w:val="000000"/>
          <w:sz w:val="22"/>
        </w:rPr>
        <w:t>Der aktuelle Reranker-Benchmark weist MiniLM als zweckmäßigen Qualitäts-Latenz-Kompromiss im untersuchten CPU-Setup aus. Mit Top-1 = 0,969, MRR@5 = 0,982 und nDCG@5 = 0,986 lag das Modell nur zwei Top-1-Treffer hinter den beiden größeren Vergleichsmodellen, war mit einer Medianlatenz von 467,8 ms jedoch deutlich schneller. Groundedness v5 erreichte bei der Schwelle 0,7888 auf 498 technisch erzeugten Weak-Label-Fällen eine Precision von 98,2 %, einen Recall von 91,0 % und eine False Acceptance Rate von 1,5 %. Diese Trennung konstruierter PASS- und FAIL-Fälle ist technisch vielversprechend, ersetzt aber weder eine unabhängige Humanannotation noch eine Vollständigkeitsprüfung.</w:t>
      </w:r>
    </w:p>
    <w:p>
      <w:pPr>
        <w:jc w:val="both"/>
        <w:widowControl/>
      </w:pPr>
      <w:r>
        <w:rPr>
          <w:rFonts w:ascii="Times New Roman" w:hAnsi="Times New Roman" w:eastAsia="Times New Roman" w:cs="Times New Roman"/>
          <w:b w:val="0"/>
          <w:color w:val="000000"/>
          <w:sz w:val="22"/>
        </w:rPr>
        <w:t>In der Gesamtschau wird die technische Machbarkeit der kontrollierten Verbindung strukturierter CRM-Evidenz und unstrukturierter Dokumente gestützt. Der stärkste Nachweis betrifft Routing, read-only Datenzugriff und operative Ausführbarkeit. Für die fachliche Antwortqualität des aktuellen Gesamtstands bleibt die Evidenz dagegen unvollständig. Diese asymmetrische Befundlage ist für die Beantwortung der Forschungsfrage entscheidend.</w:t>
      </w:r>
    </w:p>
    <w:p>
      <w:pPr>
        <w:pStyle w:val="Heading2"/>
        <w:widowControl/>
        <w:keepNext/>
      </w:pPr>
      <w:r>
        <w:rPr>
          <w:rFonts w:ascii="Times New Roman" w:hAnsi="Times New Roman" w:eastAsia="Times New Roman" w:cs="Times New Roman"/>
          <w:b/>
          <w:color w:val="000000"/>
          <w:sz w:val="28"/>
        </w:rPr>
        <w:t>6.3 Rückbezug auf Forschungsfragen und Hypothesen</w:t>
      </w:r>
    </w:p>
    <w:p>
      <w:pPr>
        <w:jc w:val="both"/>
        <w:widowControl/>
      </w:pPr>
      <w:r>
        <w:rPr>
          <w:rFonts w:ascii="Times New Roman" w:hAnsi="Times New Roman" w:eastAsia="Times New Roman" w:cs="Times New Roman"/>
          <w:b w:val="0"/>
          <w:color w:val="000000"/>
          <w:sz w:val="22"/>
        </w:rPr>
        <w:t>Die Arbeit formuliert eine zentrale Forschungsfrage und operationalisiert sie durch vier Qualitätsdimensionen. Die Diskussion behandelt diese Dimensionen als zusammengehörige Prüfperspektiven, nicht als voneinander unabhängige Erfolgsbedingungen. Eine positive Gesamtbewertung ist nur vertretbar, wenn technische Funktionsfähigkeit, Quellenbindung, Sicherheit und praktische Nutzbarkeit gemeinsam betrachtet werden und verbleibende Unsicherheiten sichtbar bleiben.</w:t>
      </w:r>
    </w:p>
    <w:p>
      <w:pPr>
        <w:pStyle w:val="Heading3"/>
        <w:widowControl/>
        <w:keepNext/>
      </w:pPr>
      <w:r>
        <w:rPr>
          <w:rFonts w:ascii="Times New Roman" w:hAnsi="Times New Roman" w:eastAsia="Times New Roman" w:cs="Times New Roman"/>
          <w:b/>
          <w:color w:val="000000"/>
          <w:sz w:val="24"/>
        </w:rPr>
        <w:t>6.3.1 Beantwortung der Forschungsfragen</w:t>
      </w:r>
    </w:p>
    <w:p>
      <w:pPr>
        <w:jc w:val="both"/>
        <w:widowControl/>
      </w:pPr>
      <w:r>
        <w:rPr>
          <w:rFonts w:ascii="Times New Roman" w:hAnsi="Times New Roman" w:eastAsia="Times New Roman" w:cs="Times New Roman"/>
          <w:b w:val="0"/>
          <w:color w:val="000000"/>
          <w:sz w:val="22"/>
        </w:rPr>
        <w:t>Die zentrale Forschungsfrage lautet, wie eine agentische RAG-Architektur für den Versicherungsbereich so entworfen und evaluiert werden kann, dass sie zugleich fachlich korrekt, quellenbasiert nachvollziehbar, sicher gegen missbräuchliche Eingaben und praktisch einsetzbar ist.</w:t>
      </w:r>
    </w:p>
    <w:p>
      <w:pPr>
        <w:jc w:val="both"/>
        <w:widowControl/>
      </w:pPr>
      <w:r>
        <w:rPr>
          <w:rFonts w:ascii="Times New Roman" w:hAnsi="Times New Roman" w:eastAsia="Times New Roman" w:cs="Times New Roman"/>
          <w:b w:val="0"/>
          <w:color w:val="000000"/>
          <w:sz w:val="22"/>
        </w:rPr>
        <w:t>Die Ergebnisse sprechen dafür, dass eine solche Architektur durch fünf miteinander verbundene Gestaltungsprinzipien realisiert werden kann. Erstens begrenzt ein deterministisches Top-Level-Routing den Entscheidungsraum auf klar definierte Pfade. Zweitens werden strukturierte CRM-Fakten ausschließlich über eingegrenzte read-only Werkzeuge abgerufen. Drittens verbindet ein hybrides Retrieval lexikalische und semantische Suche mit einem nachgelagerten Cross-Encoder-Reranking. Viertens bleiben CRM- und Dokumentevidenz durch Herkunftsmetadaten getrennt und werden erst im Combined-Pfad gemeinsam bereitgestellt. Fünftens ergänzen Eingangsprüfungen, Guardrails, PII-Behandlung, Groundedness-Prüfung, Fallbacks sowie Audit- und Diagnosedaten die fachliche Verarbeitung.</w:t>
      </w:r>
    </w:p>
    <w:p>
      <w:pPr>
        <w:jc w:val="both"/>
        <w:widowControl/>
      </w:pPr>
      <w:r>
        <w:rPr>
          <w:rFonts w:ascii="Times New Roman" w:hAnsi="Times New Roman" w:eastAsia="Times New Roman" w:cs="Times New Roman"/>
          <w:b w:val="0"/>
          <w:color w:val="000000"/>
          <w:sz w:val="22"/>
        </w:rPr>
        <w:t>Hinsichtlich der fachlichen Korrektheit und Vollständigkeit ist die Forschungsfrage nur teilweise beantwortet. Die Retrieval- und Reranking-Ergebnisse zeigen, dass relevante Evidenz in den untersuchten Beständen häufig gefunden und priorisiert werden kann. Die Fallstudien belegen zugleich, dass vorhandener Kontext nicht sicherstellt, dass das Antwortmodell alle fachlich erforderlichen Bedingungen übernimmt. Der Noah-Fall ist hierfür zentral: Die erforderlichen Dokumentseiten waren im finalen Kontext vorhanden, dennoch ließ die Generierung Pflichten aus. Da für den finalen integrierten Stand kein neuer umfassender, humanvalidierter Antwortbenchmark vorliegt, kann eine hohe fachliche Antwortqualität nicht abschließend behauptet werden.</w:t>
      </w:r>
    </w:p>
    <w:p>
      <w:pPr>
        <w:jc w:val="both"/>
        <w:widowControl/>
      </w:pPr>
      <w:r>
        <w:rPr>
          <w:rFonts w:ascii="Times New Roman" w:hAnsi="Times New Roman" w:eastAsia="Times New Roman" w:cs="Times New Roman"/>
          <w:b w:val="0"/>
          <w:color w:val="000000"/>
          <w:sz w:val="22"/>
        </w:rPr>
        <w:t>Die quellenbasierte Nachvollziehbarkeit wird durch Quellenmetadaten, getrennte Evidenztypen und die Groundedness-Prüfung strukturell unterstützt. Die historischen Werte zeigen jedoch eine deutliche Lücke zwischen dem bloßen Vorhandensein einer Quelle und der tatsächlichen Unterstützung aller Aussagen. Groundedness v5 reduziert in den technisch konstruierten Fällen das Risiko der Freigabe ungestützter Aussagen, prüft aber primär die vorhandenen Claims. Es erkennt daher nicht zuverlässig, ob eine Antwort wesentliche Informationen auslässt. Die Qualitätsdimension ist somit technisch adressiert, aber noch nicht vollständig humanvalidiert.</w:t>
      </w:r>
    </w:p>
    <w:p>
      <w:pPr>
        <w:jc w:val="both"/>
        <w:widowControl/>
      </w:pPr>
      <w:r>
        <w:rPr>
          <w:rFonts w:ascii="Times New Roman" w:hAnsi="Times New Roman" w:eastAsia="Times New Roman" w:cs="Times New Roman"/>
          <w:b w:val="0"/>
          <w:color w:val="000000"/>
          <w:sz w:val="22"/>
        </w:rPr>
        <w:t>Für die Sicherheit liefern die gestaffelten Kontrollen, die fünf ausschließlich lesenden CRM-Werkzeuge, die erfolgreiche Abweisung unerlaubter Schreib- und Exportoperationen sowie die kontrollierten Denied-Fälle substanzielle Evidenz. Gleichzeitig relativieren der lexikalische Broad-Access-Fehler, die deaktivierte Fail-closed-Option und die fehlende eigene API-Authentifizierung die Aussage. Das System demonstriert ein wirksames Least-Privilege-Prinzip im untersuchten Proof of Concept, erfüllt aber noch nicht die Schutzanforderungen eines produktiven Versicherungsbetriebs.</w:t>
      </w:r>
    </w:p>
    <w:p>
      <w:pPr>
        <w:jc w:val="both"/>
        <w:widowControl/>
      </w:pPr>
      <w:r>
        <w:rPr>
          <w:rFonts w:ascii="Times New Roman" w:hAnsi="Times New Roman" w:eastAsia="Times New Roman" w:cs="Times New Roman"/>
          <w:b w:val="0"/>
          <w:color w:val="000000"/>
          <w:sz w:val="22"/>
        </w:rPr>
        <w:t>Die praktische Einsetzbarkeit wird durch die 80 von 80 operativ abgeschlossenen Fälle, die erfolgreiche reale CRM-Abfrage und die im finalen Lauf beseitigten Systemfehler gestützt. Die rechtsschiefe Latenzverteilung mit p50 = 283,6 ms und p95 = 6.546,5 ms zeigt, dass ein großer Teil der Anfragen schnell verarbeitet wurde, generative Pfade aber deutlich höhere Laufzeiten verursachen können. Hinzu kommen externe API-Abhängigkeiten, fehlende Lasttests und die Begrenzung auf eine gleichzeitig laufende RAG-Verarbeitung. Praktische Einsetzbarkeit ist daher für einen kontrollierten internen Pilotbetrieb plausibel, für einen skalierenden Produktivbetrieb jedoch nicht nachgewiesen.</w:t>
      </w:r>
    </w:p>
    <w:p>
      <w:pPr>
        <w:jc w:val="both"/>
        <w:widowControl/>
      </w:pPr>
      <w:r>
        <w:rPr>
          <w:rFonts w:ascii="Times New Roman" w:hAnsi="Times New Roman" w:eastAsia="Times New Roman" w:cs="Times New Roman"/>
          <w:b w:val="0"/>
          <w:color w:val="000000"/>
          <w:sz w:val="22"/>
        </w:rPr>
        <w:t>Zusammenfassend lässt sich die Forschungsfrage wie folgt beantworten: Eine kontrollierte agentische CRM–RAG-Architektur kann durch deterministisches Routing, herkunftserhaltende Evidenzverarbeitung, hybride Suche mit Reranking, begrenzte read-only Werkzeuge und mehrstufige Sicherheits- und Groundedness-Kontrollen technisch realisiert und mehrdimensional evaluiert werden. Der entwickelte Prototyp belegt diese Machbarkeit und eine hohe operative Zuverlässigkeit im untersuchten Datensatz. Er belegt noch nicht, dass alle vier Qualitätsdimensionen unter realen Bedingungen vollständig erfüllt sind. Insbesondere bleiben die aktuelle fachliche Antwortqualität, die humanvalidierte Groundedness, die Absicherung des API-Zugangs und die Skalierbarkeit offen.</w:t>
      </w:r>
    </w:p>
    <w:p>
      <w:pPr>
        <w:pStyle w:val="Heading3"/>
        <w:widowControl/>
        <w:keepNext/>
      </w:pPr>
      <w:r>
        <w:rPr>
          <w:rFonts w:ascii="Times New Roman" w:hAnsi="Times New Roman" w:eastAsia="Times New Roman" w:cs="Times New Roman"/>
          <w:b/>
          <w:color w:val="000000"/>
          <w:sz w:val="24"/>
        </w:rPr>
        <w:t>6.3.2 Bewertung der Ausgangshypothesen</w:t>
      </w:r>
    </w:p>
    <w:p>
      <w:pPr>
        <w:jc w:val="both"/>
        <w:widowControl/>
      </w:pPr>
      <w:r>
        <w:rPr>
          <w:rFonts w:ascii="Times New Roman" w:hAnsi="Times New Roman" w:eastAsia="Times New Roman" w:cs="Times New Roman"/>
          <w:b w:val="0"/>
          <w:color w:val="000000"/>
          <w:sz w:val="22"/>
        </w:rPr>
        <w:t>In Kapitel 1 und Kapitel 3 wurden keine formal prüfbaren Ausgangshypothesen mit vorab festgelegten Annahme- oder Ablehnungskriterien formuliert. Eine nachträgliche Einteilung der Befunde in „bestätigte“ oder „verworfene“ Hypothesen wäre daher methodisch nicht gerechtfertigt. Die statistischen Tests in Kapitel 5 dienen der Untersuchung konkreter Gruppen- und Modellunterschiede, nicht der Prüfung übergeordneter Hypothesen über das Gesamtsystem.</w:t>
      </w:r>
    </w:p>
    <w:p>
      <w:pPr>
        <w:jc w:val="both"/>
        <w:widowControl/>
      </w:pPr>
      <w:r>
        <w:rPr>
          <w:rFonts w:ascii="Times New Roman" w:hAnsi="Times New Roman" w:eastAsia="Times New Roman" w:cs="Times New Roman"/>
          <w:b w:val="0"/>
          <w:color w:val="000000"/>
          <w:sz w:val="22"/>
        </w:rPr>
        <w:t>Als entwurfsleitende Erwartungen lassen sich dennoch drei Aussagen vorsichtig bewerten. Die Erwartung, dass die Trennung der Verarbeitungspfade einen gezielten Quellenzugriff ermöglicht, wird durch 79 von 80 korrekten Routingentscheidungen gestützt. Die Erwartung, dass ein kompakter Reranker einen günstigen CPU-Kompromiss bieten kann, wird durch die deutlich niedrigere Latenz von MiniLM bei nur zwei zusätzlichen Fehlplatzierungen gegenüber den größeren Modellen gestützt; eine allgemeine Überlegenheit folgt daraus nicht. Die Erwartung, dass Groundedness-Kontrollen ungestützte Aussagen reduzieren können, wird durch die geringe False Acceptance Rate auf den technischen Weak Labels gestützt, bleibt aber wegen der fehlenden Humanvalidierung vorläufig. Diese Bewertungen sind Interpretationen von Entwurfsannahmen und keine nachträglich formalisierten Hypothesentests.</w:t>
      </w:r>
    </w:p>
    <w:p>
      <w:pPr>
        <w:pStyle w:val="Heading2"/>
        <w:widowControl/>
        <w:keepNext/>
      </w:pPr>
      <w:r>
        <w:rPr>
          <w:rFonts w:ascii="Times New Roman" w:hAnsi="Times New Roman" w:eastAsia="Times New Roman" w:cs="Times New Roman"/>
          <w:b/>
          <w:color w:val="000000"/>
          <w:sz w:val="28"/>
        </w:rPr>
        <w:t>6.4 Interpretation der Ergebnisse</w:t>
      </w:r>
    </w:p>
    <w:p>
      <w:pPr>
        <w:pStyle w:val="Heading3"/>
        <w:widowControl/>
        <w:keepNext/>
      </w:pPr>
      <w:r>
        <w:rPr>
          <w:rFonts w:ascii="Times New Roman" w:hAnsi="Times New Roman" w:eastAsia="Times New Roman" w:cs="Times New Roman"/>
          <w:b/>
          <w:color w:val="000000"/>
          <w:sz w:val="24"/>
        </w:rPr>
        <w:t>6.4.1 Retrieval- und Reranking-Ergebnisse</w:t>
      </w:r>
    </w:p>
    <w:p>
      <w:pPr>
        <w:jc w:val="both"/>
        <w:widowControl/>
      </w:pPr>
      <w:r>
        <w:rPr>
          <w:rFonts w:ascii="Times New Roman" w:hAnsi="Times New Roman" w:eastAsia="Times New Roman" w:cs="Times New Roman"/>
          <w:b w:val="0"/>
          <w:color w:val="000000"/>
          <w:sz w:val="22"/>
        </w:rPr>
        <w:t>Die hohe historische Retrieval Support Hit Rate zeigt, dass die damalige Pipeline in den meisten Fällen zumindest eine lexikalisch stützende Passage fand. Die deutlich niedrigere Context Precision weist jedoch auf einen Zielkonflikt hin: Eine breite Kandidatenauswahl erhöht die Chance, relevante Evidenz nicht zu übersehen, belastet den Generierungskontext aber mit zusätzlichen Passagen. In einer Versicherungsanwendung ist dieser Zielkonflikt besonders bedeutsam, weil ähnliche Formulierungen zu unterschiedlichen Produkten, Vertragsständen oder Ausschlüssen semantisch nahe liegen können. Ein bloßer Treffer ist deshalb weniger aussagekräftig als die korrekte Zuordnung zu Produkt, Zeitraum und Entität.</w:t>
      </w:r>
    </w:p>
    <w:p>
      <w:pPr>
        <w:jc w:val="both"/>
        <w:widowControl/>
      </w:pPr>
      <w:r>
        <w:rPr>
          <w:rFonts w:ascii="Times New Roman" w:hAnsi="Times New Roman" w:eastAsia="Times New Roman" w:cs="Times New Roman"/>
          <w:b w:val="0"/>
          <w:color w:val="000000"/>
          <w:sz w:val="22"/>
        </w:rPr>
        <w:t>Das hybride Retrieval ist konzeptionell geeignet, weil BM25 genaue Fachbegriffe und Dokumentbezeichnungen erfasst, während BGE-M3 sprachliche Varianten und deutsch-englische Ähnlichkeiten abbildet. Die vorhandenen Smoke-Tests zeigen, dass einschlägige Dokumente im aktuellen Helvetia-Korpus auffindbar sind. Sie ersetzen jedoch keine systematische aktuelle Recall- und Precision-Messung. Zudem können die zeichenbasierte Segmentierung, nicht entfernte Kopf- und Fußzeilen sowie fehlende semantische Deduplizierung die Relevanzbewertung beeinflussen.</w:t>
      </w:r>
    </w:p>
    <w:p>
      <w:pPr>
        <w:jc w:val="both"/>
        <w:widowControl/>
      </w:pPr>
      <w:r>
        <w:rPr>
          <w:rFonts w:ascii="Times New Roman" w:hAnsi="Times New Roman" w:eastAsia="Times New Roman" w:cs="Times New Roman"/>
          <w:b w:val="0"/>
          <w:color w:val="000000"/>
          <w:sz w:val="22"/>
        </w:rPr>
        <w:t>Der Reranker-Vergleich zeigt, dass zusätzliche Modellgröße im untersuchten Benchmark nur einen geringen absoluten Qualitätsgewinn brachte. MiniLM verfehlte zwei Top-1-Fälle, während mMARCO und BGE alle 64 Fälle korrekt lösten. Die Unterschiede in den Top-1-Entscheidungen waren statistisch nicht abgesichert, die Latenzunterschiede dagegen deutlich. Für die CPU-basierte Zielumgebung ist die Wahl von MiniLM deshalb nachvollziehbar. Sie ist keine Aussage über eine grundsätzliche Modellüberlegenheit, sondern eine systemspezifische Entscheidung unter begrenzten Ressourcen.</w:t>
      </w:r>
    </w:p>
    <w:p>
      <w:pPr>
        <w:jc w:val="both"/>
        <w:widowControl/>
      </w:pPr>
      <w:r>
        <w:rPr>
          <w:rFonts w:ascii="Times New Roman" w:hAnsi="Times New Roman" w:eastAsia="Times New Roman" w:cs="Times New Roman"/>
          <w:b w:val="0"/>
          <w:color w:val="000000"/>
          <w:sz w:val="22"/>
        </w:rPr>
        <w:t>Besonders aufschlussreich ist die deterministische Policenfilterung. Sie erhöhte MiniLM von 59 auf 62 Top-1-Treffer und korrigierte im Lara-Fall die semantische Präferenz für eine ältere Police. Daraus folgt, dass fachliche Strukturregeln nicht vollständig durch semantische Ähnlichkeit ersetzt werden sollten. Status, Laufzeit und Entitätsbeziehungen sind deterministisch prüfbare Merkmale und sollten vor oder gemeinsam mit dem semantischen Ranking berücksichtigt werden. Für versicherungsbezogene Systeme entsteht Qualität somit aus der Kombination statistischer Relevanzmodelle und expliziter Geschäftslogik.</w:t>
      </w:r>
    </w:p>
    <w:p>
      <w:pPr>
        <w:pStyle w:val="Heading3"/>
        <w:widowControl/>
        <w:keepNext/>
      </w:pPr>
      <w:r>
        <w:rPr>
          <w:rFonts w:ascii="Times New Roman" w:hAnsi="Times New Roman" w:eastAsia="Times New Roman" w:cs="Times New Roman"/>
          <w:b/>
          <w:color w:val="000000"/>
          <w:sz w:val="24"/>
        </w:rPr>
        <w:t>6.4.2 Antwortqualität und Groundedness</w:t>
      </w:r>
    </w:p>
    <w:p>
      <w:pPr>
        <w:jc w:val="both"/>
        <w:widowControl/>
      </w:pPr>
      <w:r>
        <w:rPr>
          <w:rFonts w:ascii="Times New Roman" w:hAnsi="Times New Roman" w:eastAsia="Times New Roman" w:cs="Times New Roman"/>
          <w:b w:val="0"/>
          <w:color w:val="000000"/>
          <w:sz w:val="22"/>
        </w:rPr>
        <w:t>Der historische Token F1 von 0,173 ist niedrig, darf aber nicht isoliert als fachliche Fehlerrate interpretiert werden. Lexikalische Referenzmetriken benachteiligen korrekte Paraphrasen und reagieren empfindlich auf unterschiedliche Antwortlängen. Gleichzeitig zeigen Exact Match = 0, die 18 Fallback-Antworten und qualitative Fälle, dass nicht nur eine Metrikunvollkommenheit vorliegt. Die Antwortgenerierung war im damaligen Systemstand tatsächlich nicht durchgehend präzise und vollständig.</w:t>
      </w:r>
    </w:p>
    <w:p>
      <w:pPr>
        <w:jc w:val="both"/>
        <w:widowControl/>
      </w:pPr>
      <w:r>
        <w:rPr>
          <w:rFonts w:ascii="Times New Roman" w:hAnsi="Times New Roman" w:eastAsia="Times New Roman" w:cs="Times New Roman"/>
          <w:b w:val="0"/>
          <w:color w:val="000000"/>
          <w:sz w:val="22"/>
        </w:rPr>
        <w:t>Die Differenz zwischen Source Presence Rate und Citation Support Rate ist inhaltlich wichtiger als das bloße Quellenformat. Obwohl 91,0 % der historischen Antworten mindestens eine sichtbare Quelle enthielten, lag die mittlere Unterstützung der Aussagen nur bei 0,597. Dies bestätigt die in Kapitel 2 erläuterte Unterscheidung zwischen Zitationspräsenz, Zitationskorrektheit und Zitationsabdeckung [20]. Ein terminaler Quellenmarker kann eine Antwort nachvollziehbar erscheinen lassen, ohne jede belegpflichtige Aussage abzudecken. Für die weitere Entwicklung sollten Quellen deshalb claim- oder satznah zugeordnet und getrennt nach Präzision und Recall bewertet werden.</w:t>
      </w:r>
    </w:p>
    <w:p>
      <w:pPr>
        <w:jc w:val="both"/>
        <w:widowControl/>
      </w:pPr>
      <w:r>
        <w:rPr>
          <w:rFonts w:ascii="Times New Roman" w:hAnsi="Times New Roman" w:eastAsia="Times New Roman" w:cs="Times New Roman"/>
          <w:b w:val="0"/>
          <w:color w:val="000000"/>
          <w:sz w:val="22"/>
        </w:rPr>
        <w:t>Groundedness v5 adressiert mehrere in Versicherungsantworten kritische Fehlerarten, darunter unbelegte Zahlen, vertauschte Identifikatoren, widersprüchliche strukturierte Felder und falsche Deckungspolarität. Die hohe Precision gegenüber den technischen Weak Labels spricht dafür, dass die gewählte Schwelle konservativ ungestützte Ausgaben begrenzen kann. Die 21 False Negatives zeigen zugleich, dass auch unterstützte Antworten abgewiesen werden. Für ein Assistenzsystem ist dieser Zielkonflikt grundsätzlich vertretbar, wenn sichere Fallbacks wichtiger sind als maximale Antwortquote. Im Betrieb muss jedoch beobachtet werden, ob zu viele legitime Antworten verloren gehen.</w:t>
      </w:r>
    </w:p>
    <w:p>
      <w:pPr>
        <w:jc w:val="both"/>
        <w:widowControl/>
      </w:pPr>
      <w:r>
        <w:rPr>
          <w:rFonts w:ascii="Times New Roman" w:hAnsi="Times New Roman" w:eastAsia="Times New Roman" w:cs="Times New Roman"/>
          <w:b w:val="0"/>
          <w:color w:val="000000"/>
          <w:sz w:val="22"/>
        </w:rPr>
        <w:t>Der Noah-Fall verdeutlicht zwei weitere Grenzen. Erstens bestand eine unvollständige Antwort mit einem Score von 0,856, weil die tatsächlich enthaltenen Aussagen gestützt waren. Groundedness ist damit kein Ersatz für Requirement Recall oder eine fachliche Vollständigkeitsprüfung. Zweitens begrenzte eine nummerierte Überschrift in einem anderen Lauf den Score fälschlich auf 0,38. Die regelbasierte Faktenextraktion kann Formatmerkmale als fachliche Zahlen missverstehen. Eine robuste Freigabelogik sollte deshalb Groundedness, Vollständigkeit, Entitätskonsistenz und Ausgabeformat getrennt prüfen und ihre Fehlergründe transparent protokollieren.</w:t>
      </w:r>
    </w:p>
    <w:p>
      <w:pPr>
        <w:pStyle w:val="Heading3"/>
        <w:widowControl/>
        <w:keepNext/>
      </w:pPr>
      <w:r>
        <w:rPr>
          <w:rFonts w:ascii="Times New Roman" w:hAnsi="Times New Roman" w:eastAsia="Times New Roman" w:cs="Times New Roman"/>
          <w:b/>
          <w:color w:val="000000"/>
          <w:sz w:val="24"/>
        </w:rPr>
        <w:t>6.4.3 Routing und Ergebnisse der Verarbeitungspfade</w:t>
      </w:r>
    </w:p>
    <w:p>
      <w:pPr>
        <w:jc w:val="both"/>
        <w:widowControl/>
      </w:pPr>
      <w:r>
        <w:rPr>
          <w:rFonts w:ascii="Times New Roman" w:hAnsi="Times New Roman" w:eastAsia="Times New Roman" w:cs="Times New Roman"/>
          <w:b w:val="0"/>
          <w:color w:val="000000"/>
          <w:sz w:val="22"/>
        </w:rPr>
        <w:t>Die hohe Routing Accuracy bestätigt, dass eine begrenzte deterministische Pfadauswahl für einen klar umrissenen Anwendungsbereich wirksam sein kann. Der Verzicht auf ein LLM im Top-Level-Routing verbessert Reproduzierbarkeit, Auditierbarkeit und die Kontrolle über Datenzugriffe. Besonders relevant ist, dass CRM-only deterministisch formatiert wird und kein abschließendes Sprachmodell benötigt. Dadurch sinkt für reine Bestandsauskünfte das Risiko unbelegter Ergänzungen und die Verarbeitung bleibt schneller.</w:t>
      </w:r>
    </w:p>
    <w:p>
      <w:pPr>
        <w:jc w:val="both"/>
        <w:widowControl/>
      </w:pPr>
      <w:r>
        <w:rPr>
          <w:rFonts w:ascii="Times New Roman" w:hAnsi="Times New Roman" w:eastAsia="Times New Roman" w:cs="Times New Roman"/>
          <w:b w:val="0"/>
          <w:color w:val="000000"/>
          <w:sz w:val="22"/>
        </w:rPr>
        <w:t>Der Combined-Pfad ist architektonisch anspruchsvoller, weil individuelle Vertragsdaten und allgemeine Dokumentbedingungen gemeinsam verarbeitet werden. Die getrennte Herkunftskennzeichnung verhindert, dass allgemeine Bedingungen als konkrete Vertragsmerkmale erscheinen. Die Möglichkeit einer gekennzeichneten Teilantwort bei technischem Ausfall des Dokumentanteils ist sinnvoll, sofern ausschließlich validierte CRM-Fakten ausgegeben und keine Deckungsentscheidung abgeleitet wird. Die bisherige Evaluation enthält jedoch keinen konsolidierten Bestand, der Partial Responses systematisch hinsichtlich Verständlichkeit und Fehlinterpretationsrisiko bewertet.</w:t>
      </w:r>
    </w:p>
    <w:p>
      <w:pPr>
        <w:jc w:val="both"/>
        <w:widowControl/>
      </w:pPr>
      <w:r>
        <w:rPr>
          <w:rFonts w:ascii="Times New Roman" w:hAnsi="Times New Roman" w:eastAsia="Times New Roman" w:cs="Times New Roman"/>
          <w:b w:val="0"/>
          <w:color w:val="000000"/>
          <w:sz w:val="22"/>
        </w:rPr>
        <w:t>Der einzige Fehlfall des Denied-Routings zeigt die Grenze fester Schlüsselwortmuster. Die Formulierung „every policy“ wurde wegen des Singulars nicht als unzulässige Bereichsabfrage erkannt. Ein solcher Fehler ist nicht nur eine Klassifikationsabweichung, sondern potenziell sicherheitsrelevant, weil Broad-Access-Anfragen keinen fachlichen Datenzugriff auslösen sollen. Im konkreten Fall führte die Fehlroute zu RAG-only und damit nicht zu einem CRM-Massenabruf. Dennoch sollte die Erkennung durch normalisierte Muster, morphologische Varianten, semantische Regeln und adversariale Regressionstests erweitert werden. Eine mehrstufige Entscheidung kann deterministische Sperrregeln beibehalten und unsichere Fälle gezielt ablehnen oder einer menschlichen Prüfung zuführen.</w:t>
      </w:r>
    </w:p>
    <w:p>
      <w:pPr>
        <w:pStyle w:val="Heading3"/>
        <w:widowControl/>
        <w:keepNext/>
      </w:pPr>
      <w:r>
        <w:rPr>
          <w:rFonts w:ascii="Times New Roman" w:hAnsi="Times New Roman" w:eastAsia="Times New Roman" w:cs="Times New Roman"/>
          <w:b/>
          <w:color w:val="000000"/>
          <w:sz w:val="24"/>
        </w:rPr>
        <w:t>6.4.4 Sicherheits- und Robustheitsergebnisse</w:t>
      </w:r>
    </w:p>
    <w:p>
      <w:pPr>
        <w:jc w:val="both"/>
        <w:widowControl/>
      </w:pPr>
      <w:r>
        <w:rPr>
          <w:rFonts w:ascii="Times New Roman" w:hAnsi="Times New Roman" w:eastAsia="Times New Roman" w:cs="Times New Roman"/>
          <w:b w:val="0"/>
          <w:color w:val="000000"/>
          <w:sz w:val="22"/>
        </w:rPr>
        <w:t>Die Sicherheitsarchitektur folgt einem Defense-in-Depth-Prinzip. Harte Eingangsregeln, NeMo Guardrails, PII-Redaktion, read-only Werkzeuge, Groundedness-Fallbacks und Auditdaten begrenzen unterschiedliche Risikoklassen. Der historische Safety-Lauf mit 70 von 70 blockierten Angriffen und 130 von 130 zugelassenen legitimen Anfragen zeigt, dass die damaligen Regeln den festen Testsatz vollständig trennten. Wegen des älteren Systemstands und der fehlenden unabhängigen Labelprüfung ist daraus jedoch keine allgemeine Robustheit gegenüber neuen Angriffen ableitbar.</w:t>
      </w:r>
    </w:p>
    <w:p>
      <w:pPr>
        <w:jc w:val="both"/>
        <w:widowControl/>
      </w:pPr>
      <w:r>
        <w:rPr>
          <w:rFonts w:ascii="Times New Roman" w:hAnsi="Times New Roman" w:eastAsia="Times New Roman" w:cs="Times New Roman"/>
          <w:b w:val="0"/>
          <w:color w:val="000000"/>
          <w:sz w:val="22"/>
        </w:rPr>
        <w:t>Für den finalen Stand sind die Abweisung unerlaubter Schreib-, Lösch- und Exportoperationen sowie die unveränderten Datenbestände besonders aussagekräftig. Selbst bei einer fehlerhaften Modell- oder Routingentscheidung reduziert der begrenzte Werkzeugumfang die möglichen Auswirkungen. Dieses Least-Privilege-Design ist für die Verarbeitung sensibler Versicherungsdaten wichtiger als ein alleiniger Prompt, der Schreibzugriffe untersagt.</w:t>
      </w:r>
    </w:p>
    <w:p>
      <w:pPr>
        <w:jc w:val="both"/>
        <w:widowControl/>
      </w:pPr>
      <w:r>
        <w:rPr>
          <w:rFonts w:ascii="Times New Roman" w:hAnsi="Times New Roman" w:eastAsia="Times New Roman" w:cs="Times New Roman"/>
          <w:b w:val="0"/>
          <w:color w:val="000000"/>
          <w:sz w:val="22"/>
        </w:rPr>
        <w:t>Gleichzeitig bestehen produktionsrelevante Lücken. PIPELINE_AUTHENTICATED ist deaktiviert, eine eigene FastAPI-Authentifizierung fehlt und Port 443 ist ohne aktive TLS-Konfiguration veröffentlicht. Außerdem ist SAFETY_FAIL_CLOSED deaktiviert; ein interner Guardrail-Fehler führt daher nicht automatisch zum Abbruch. Diese Einstellungen können für einen lokalen Proof of Concept nachvollziehbar sein, widersprechen aber einer produktiven Verarbeitung realer personenbezogener Daten. Vor einem Pilotbetrieb mit echten Daten wären starke Authentifizierung, Autorisierung, TLS, rollenbasierte Berechtigungen, abgesicherte Protokolle, Secret-Management und eine risikobasierte Fail-closed-Strategie erforderlich. Dies entspricht der in Kapitel 2 diskutierten Forderung nach mehrschichtigen technischen und organisatorischen Maßnahmen [24].</w:t>
      </w:r>
    </w:p>
    <w:p>
      <w:pPr>
        <w:pStyle w:val="Heading3"/>
        <w:widowControl/>
        <w:keepNext/>
      </w:pPr>
      <w:r>
        <w:rPr>
          <w:rFonts w:ascii="Times New Roman" w:hAnsi="Times New Roman" w:eastAsia="Times New Roman" w:cs="Times New Roman"/>
          <w:b/>
          <w:color w:val="000000"/>
          <w:sz w:val="24"/>
        </w:rPr>
        <w:t>6.4.5 Laufzeit und Ressourcenbedarf</w:t>
      </w:r>
    </w:p>
    <w:p>
      <w:pPr>
        <w:jc w:val="both"/>
        <w:widowControl/>
      </w:pPr>
      <w:r>
        <w:rPr>
          <w:rFonts w:ascii="Times New Roman" w:hAnsi="Times New Roman" w:eastAsia="Times New Roman" w:cs="Times New Roman"/>
          <w:b w:val="0"/>
          <w:color w:val="000000"/>
          <w:sz w:val="22"/>
        </w:rPr>
        <w:t>Die aktuelle Latenzverteilung ist stark rechtsschief. Der Median von 283,6 ms deutet darauf hin, dass deterministische und CRM-nahe Anfragen häufig interaktiv beantwortet werden können. Das p95 von 6.546,5 ms und das Maximum von 9.340,2 ms zeigen jedoch, dass langsamere generative Pfade die Nutzererfahrung prägen können. Der Mittelwert von 2.412,9 ms ist wegen der Pfadmischung weniger aussagekräftig als pfadspezifische Quantile.</w:t>
      </w:r>
    </w:p>
    <w:p>
      <w:pPr>
        <w:jc w:val="both"/>
        <w:widowControl/>
      </w:pPr>
      <w:r>
        <w:rPr>
          <w:rFonts w:ascii="Times New Roman" w:hAnsi="Times New Roman" w:eastAsia="Times New Roman" w:cs="Times New Roman"/>
          <w:b w:val="0"/>
          <w:color w:val="000000"/>
          <w:sz w:val="22"/>
        </w:rPr>
        <w:t>Die Komponentenmessungen bestätigen, dass CRM-Zugriffe mit Medianen von 31,6 ms für REST und 67,7 ms für persistentes MCP nicht der hauptsächliche Engpass sind. Dagegen beeinflussen Reranking und externe Antwortgenerierung die Laufzeit deutlich. Die historischen RAG-only-Laufzeiten von 358,0 beziehungsweise 588,4 Sekunden stammen aus anderen Konfigurationen und sind nicht mit dem finalen 80-Fall-Lauf gleichzusetzen. Sie zeigen dennoch, wie stark Korpuszustand, Initialisierung und Modellpfad die praktische Nutzbarkeit verändern können.</w:t>
      </w:r>
    </w:p>
    <w:p>
      <w:pPr>
        <w:jc w:val="both"/>
        <w:widowControl/>
      </w:pPr>
      <w:r>
        <w:rPr>
          <w:rFonts w:ascii="Times New Roman" w:hAnsi="Times New Roman" w:eastAsia="Times New Roman" w:cs="Times New Roman"/>
          <w:b w:val="0"/>
          <w:color w:val="000000"/>
          <w:sz w:val="22"/>
        </w:rPr>
        <w:t>Der gemessene Backend-Speicherbedarf von etwa 1,93 bis 2,16 GiB ist für einen lokalen Prototyp beherrschbar. Aussagen zu Spitzenlast, Parallelität und Skalierung sind daraus nicht möglich. Da höchstens eine RAG-Verarbeitung pro Backendprozess zugelassen ist, fehlen Nachweise für mehrere gleichzeitige Nutzer. Auch die Abhängigkeit von einem externen Antwortdienst wirkt sich auf Verfügbarkeit, Datenschutz, Kosten und Reproduzierbarkeit aus. Für eine belastbare Betriebsbewertung sind daher route-spezifische Lasttests, Kalt- und Warmlaufmessungen, Fehlersimulationen und Kostenmessungen erforderlich.</w:t>
      </w:r>
    </w:p>
    <w:p>
      <w:pPr>
        <w:pStyle w:val="Heading2"/>
        <w:widowControl/>
        <w:keepNext/>
      </w:pPr>
      <w:r>
        <w:rPr>
          <w:rFonts w:ascii="Times New Roman" w:hAnsi="Times New Roman" w:eastAsia="Times New Roman" w:cs="Times New Roman"/>
          <w:b/>
          <w:color w:val="000000"/>
          <w:sz w:val="28"/>
        </w:rPr>
        <w:t>6.5 Vergleich mit verwandten Arbeiten</w:t>
      </w:r>
    </w:p>
    <w:p>
      <w:pPr>
        <w:jc w:val="both"/>
        <w:widowControl/>
      </w:pPr>
      <w:r>
        <w:rPr>
          <w:rFonts w:ascii="Times New Roman" w:hAnsi="Times New Roman" w:eastAsia="Times New Roman" w:cs="Times New Roman"/>
          <w:b w:val="0"/>
          <w:color w:val="000000"/>
          <w:sz w:val="22"/>
        </w:rPr>
        <w:t>Die Grundidee, ein Sprachmodell durch externe Dokumente zu ergänzen, folgt dem RAG-Paradigma von Lewis et al. [4]. Die vorliegende Arbeit erweitert diesen linearen Ansatz um anfrageabhängige Pfade, hybride Suche, Reranking, strukturierte CRM-Werkzeuge und nachgelagerte Kontrollen. Der Beitrag liegt damit weniger in einem neuen Retrieval-Verfahren als in der kontrollierten Integration mehrerer Evidenz- und Sicherheitskomponenten.</w:t>
      </w:r>
    </w:p>
    <w:p>
      <w:pPr>
        <w:jc w:val="both"/>
        <w:widowControl/>
      </w:pPr>
      <w:r>
        <w:rPr>
          <w:rFonts w:ascii="Times New Roman" w:hAnsi="Times New Roman" w:eastAsia="Times New Roman" w:cs="Times New Roman"/>
          <w:b w:val="0"/>
          <w:color w:val="000000"/>
          <w:sz w:val="22"/>
        </w:rPr>
        <w:t>Beauchemin et al. zeigen für Kfz-Versicherungsfragen den Nutzen domänenspezifischer RAG-Quellen und verbleibende Fehlerrisiken [2]. Die Ergebnisse dieser Arbeit stimmen qualitativ mit dieser Beobachtung überein: Relevante Dokumente können häufig gefunden werden, dennoch bleiben Generierungs- und Zuordnungsfehler möglich. Ein direkter quantitativer Vergleich wäre wegen unterschiedlicher Korpora, Sprachen, Metriken und Systemstände nicht zulässig. InsuranceQA [25] dient hier als historische QA-Datengrundlage, bildet aber weder die aktuelle Helvetia-Wissensbasis noch strukturierte CRM-Abfragen vollständig ab.</w:t>
      </w:r>
    </w:p>
    <w:p>
      <w:pPr>
        <w:jc w:val="both"/>
        <w:widowControl/>
      </w:pPr>
      <w:r>
        <w:rPr>
          <w:rFonts w:ascii="Times New Roman" w:hAnsi="Times New Roman" w:eastAsia="Times New Roman" w:cs="Times New Roman"/>
          <w:b w:val="0"/>
          <w:color w:val="000000"/>
          <w:sz w:val="22"/>
        </w:rPr>
        <w:t>Im Vergleich zu Hanmante et al. [26], die ein mehrmoduliges Versicherungssystem mit synthetischen strukturierten Daten beschreiben, liegt der Schwerpunkt der vorliegenden Arbeit auf einem operativ angebundenen, wenn auch synthetisch befüllten EspoCRM und streng begrenzten read-only Werkzeugen. Dadurch wird die Schnittstelle zwischen natürlicher Sprache und einem konkreten Unternehmenssystem untersucht. Gleichzeitig verhindert die synthetische Datenbasis eine Aussage über reale Datenqualität, organisatorische Prozesse und Datenschutzfolgen.</w:t>
      </w:r>
    </w:p>
    <w:p>
      <w:pPr>
        <w:jc w:val="both"/>
        <w:widowControl/>
      </w:pPr>
      <w:r>
        <w:rPr>
          <w:rFonts w:ascii="Times New Roman" w:hAnsi="Times New Roman" w:eastAsia="Times New Roman" w:cs="Times New Roman"/>
          <w:b w:val="0"/>
          <w:color w:val="000000"/>
          <w:sz w:val="22"/>
        </w:rPr>
        <w:t>Der agentische Charakter ist enger kontrolliert als in allgemeineren Ansätzen wie ReAct [10] oder Toolformer [11]. Das System lässt kein frei planendes Modell über beliebige Werkzeuge entscheiden, sondern beschränkt die Top-Level-Auswahl deterministisch auf vier Pfade. Diese geringere Autonomie reduziert Flexibilität, verbessert aber Nachvollziehbarkeit und Zugriffskontrolle. Self-RAG [27] integriert bedarfsgesteuertes Retrieval und Selbstreflexion stärker in das Modell; im vorliegenden Prototyp sind Self-Check und Query-Rewrite deaktiviert. Die Arbeit zeigt damit eine alternative Ausprägung agentischer Verarbeitung, bei der Governance und deterministische Orchestrierung Vorrang vor autonomer Planung haben.</w:t>
      </w:r>
    </w:p>
    <w:p>
      <w:pPr>
        <w:jc w:val="both"/>
        <w:widowControl/>
      </w:pPr>
      <w:r>
        <w:rPr>
          <w:rFonts w:ascii="Times New Roman" w:hAnsi="Times New Roman" w:eastAsia="Times New Roman" w:cs="Times New Roman"/>
          <w:b w:val="0"/>
          <w:color w:val="000000"/>
          <w:sz w:val="22"/>
        </w:rPr>
        <w:t>Die Trennung von Source Presence und Citation Support entspricht der Forderung von ALCE, Zitationskorrektheit und -abdeckung getrennt zu betrachten [20]. Die vorhandenen Ergebnisse zeigen zugleich, dass die Implementierung dieses Anspruchs noch nicht vollständig evaluiert ist: ALCE-orientierte Citation Precision und Citation Recall sind zwar implementiert und unit-getestet, aber nicht in einem aktuellen primären Gesamtlauf persistiert. NeMo Guardrails [6] bildet einen Teil der Sicherheitsarchitektur; die Befunde bestätigen jedoch, dass programmierbare Rails allein nicht genügen. Deterministische Sperrregeln, begrenzte Werkzeuge, PII-Verarbeitung, Groundedness und betriebliche Kontrollen müssen zusammenwirken.</w:t>
      </w:r>
    </w:p>
    <w:p>
      <w:pPr>
        <w:jc w:val="both"/>
        <w:widowControl/>
      </w:pPr>
      <w:r>
        <w:rPr>
          <w:rFonts w:ascii="Times New Roman" w:hAnsi="Times New Roman" w:eastAsia="Times New Roman" w:cs="Times New Roman"/>
          <w:b w:val="0"/>
          <w:color w:val="000000"/>
          <w:sz w:val="22"/>
        </w:rPr>
        <w:t>Die Forschungslücke wird somit teilweise geschlossen. Der Prototyp demonstriert eine gemeinsam orchestrierte CRM–RAG-Architektur mit Herkunftstrennung, Sicherheit und mehrdimensionaler Evaluation. Offen bleibt eine umfassende, humanvalidierte und produktionsnahe Bewertung, die diese Komponenten im selben finalen Systemstand und unter realistischen Nutzungsbedingungen untersucht.</w:t>
      </w:r>
    </w:p>
    <w:p>
      <w:pPr>
        <w:pStyle w:val="Heading2"/>
        <w:widowControl/>
        <w:keepNext/>
      </w:pPr>
      <w:r>
        <w:rPr>
          <w:rFonts w:ascii="Times New Roman" w:hAnsi="Times New Roman" w:eastAsia="Times New Roman" w:cs="Times New Roman"/>
          <w:b/>
          <w:color w:val="000000"/>
          <w:sz w:val="28"/>
        </w:rPr>
        <w:t>6.6 Praktische Implikationen und Handlungsempfehlungen</w:t>
      </w:r>
    </w:p>
    <w:p>
      <w:pPr>
        <w:jc w:val="both"/>
        <w:widowControl/>
      </w:pPr>
      <w:r>
        <w:rPr>
          <w:rFonts w:ascii="Times New Roman" w:hAnsi="Times New Roman" w:eastAsia="Times New Roman" w:cs="Times New Roman"/>
          <w:b w:val="0"/>
          <w:color w:val="000000"/>
          <w:sz w:val="22"/>
        </w:rPr>
        <w:t>Die Ergebnisse legen nahe, das System nicht als automatischen Entscheider, sondern als quellengebundenes Assistenzwerkzeug für kontrollierte Informationsaufgaben zu positionieren. Besonders geeignet erscheinen klar begrenzte Bestandsabfragen, dokumentenbasierte Erläuterungen und kombinierte Vorprüfungen, bei denen die Nutzer die Quellen einsehen und fachlich bewerten können. Rechtsverbindliche Deckungs- oder Schadenentscheidungen sollten weiterhin außerhalb des Systems und unter menschlicher Verantwortung erfolgen.</w:t>
      </w:r>
    </w:p>
    <w:p>
      <w:pPr>
        <w:pStyle w:val="Heading3"/>
        <w:widowControl/>
        <w:keepNext/>
      </w:pPr>
      <w:r>
        <w:rPr>
          <w:rFonts w:ascii="Times New Roman" w:hAnsi="Times New Roman" w:eastAsia="Times New Roman" w:cs="Times New Roman"/>
          <w:b/>
          <w:color w:val="000000"/>
          <w:sz w:val="24"/>
        </w:rPr>
        <w:t>6.6.1 Empfehlungen für Systementwickler</w:t>
      </w:r>
    </w:p>
    <w:p>
      <w:pPr>
        <w:jc w:val="both"/>
        <w:widowControl/>
      </w:pPr>
      <w:r>
        <w:rPr>
          <w:rFonts w:ascii="Times New Roman" w:hAnsi="Times New Roman" w:eastAsia="Times New Roman" w:cs="Times New Roman"/>
          <w:b w:val="0"/>
          <w:color w:val="000000"/>
          <w:sz w:val="22"/>
        </w:rPr>
        <w:t>Für die Weiterentwicklung sollte zuerst die Evaluationslücke des finalen Gesamtstands geschlossen werden. Ein neuer, versionierter End-to-End-Benchmark sollte alle vier Pfade umfassen und Routing, operative Ausführung, fachliche Korrektheit, Vollständigkeit, Groundedness, Citation Precision und Citation Recall auf denselben Fällen messen. Die Referenzantworten und Groundedness-Labels sollten unabhängig fachlich annotiert werden. Fehler sind nach Route, Produkt, Sprache, Entität und Fehlerursache zu kategorisieren.</w:t>
      </w:r>
    </w:p>
    <w:p>
      <w:pPr>
        <w:jc w:val="both"/>
        <w:widowControl/>
      </w:pPr>
      <w:r>
        <w:rPr>
          <w:rFonts w:ascii="Times New Roman" w:hAnsi="Times New Roman" w:eastAsia="Times New Roman" w:cs="Times New Roman"/>
          <w:b w:val="0"/>
          <w:color w:val="000000"/>
          <w:sz w:val="22"/>
        </w:rPr>
        <w:t>Das Routing sollte um normalisierte Singular- und Pluralvarianten, Synonyme, mehrsprachige Muster und adversariale Paraphrasen erweitert werden. Unsichere Broad-Access-Fälle sollten nicht automatisch in RAG-only fallen, sondern kontrolliert abgewiesen oder zur Klärung zurückgegeben werden. Die deterministische Policenfilterung sollte als eigenständige fachliche Komponente beibehalten und durch weitere Zeit-, Status- und Entitätsregeln ergänzt werden.</w:t>
      </w:r>
    </w:p>
    <w:p>
      <w:pPr>
        <w:jc w:val="both"/>
        <w:widowControl/>
      </w:pPr>
      <w:r>
        <w:rPr>
          <w:rFonts w:ascii="Times New Roman" w:hAnsi="Times New Roman" w:eastAsia="Times New Roman" w:cs="Times New Roman"/>
          <w:b w:val="0"/>
          <w:color w:val="000000"/>
          <w:sz w:val="22"/>
        </w:rPr>
        <w:t>Für die Antwortqualität empfiehlt sich eine separate Vollständigkeitsprüfung neben Groundedness. Aus der Anfrage ableitbare Anforderungen können vor der Generierung strukturiert und nach der Generierung claim-basiert geprüft werden. Zitationen sollten möglichst satznah mit stabilen Dokument-, Seiten- und Abschnittsbezügen erzeugt werden. Die derzeit instabilen Chunk-IDs sollten nicht als dauerhafte Audit-Referenz dienen. Eine semantische Promptversion, feste Konfigurationssnapshots und möglichst reproduzierbare Modellversionen würden die Vergleichbarkeit der Läufe erhöhen.</w:t>
      </w:r>
    </w:p>
    <w:p>
      <w:pPr>
        <w:jc w:val="both"/>
        <w:widowControl/>
      </w:pPr>
      <w:r>
        <w:rPr>
          <w:rFonts w:ascii="Times New Roman" w:hAnsi="Times New Roman" w:eastAsia="Times New Roman" w:cs="Times New Roman"/>
          <w:b w:val="0"/>
          <w:color w:val="000000"/>
          <w:sz w:val="22"/>
        </w:rPr>
        <w:t>Auf Retrieval-Ebene sollten Chunking, Tabellenverarbeitung, Kopf- und Fußzeilenbereinigung sowie Produktfilter in Ablationen untersucht werden. Für deutschsprachige Anfragen ist eine eigene Evaluation erforderlich, da der aktive Korpus und der Antwortprompt englischsprachig sind. Zusätzlich sollten OCR und robuste Verarbeitung gescannter Dokumente nur dann als Funktion ausgewiesen werden, wenn sie tatsächlich implementiert und getestet sind.</w:t>
      </w:r>
    </w:p>
    <w:p>
      <w:pPr>
        <w:pStyle w:val="Heading3"/>
        <w:widowControl/>
        <w:keepNext/>
      </w:pPr>
      <w:r>
        <w:rPr>
          <w:rFonts w:ascii="Times New Roman" w:hAnsi="Times New Roman" w:eastAsia="Times New Roman" w:cs="Times New Roman"/>
          <w:b/>
          <w:color w:val="000000"/>
          <w:sz w:val="24"/>
        </w:rPr>
        <w:t>6.6.2 Empfehlungen für Betreiber</w:t>
      </w:r>
    </w:p>
    <w:p>
      <w:pPr>
        <w:jc w:val="both"/>
        <w:widowControl/>
      </w:pPr>
      <w:r>
        <w:rPr>
          <w:rFonts w:ascii="Times New Roman" w:hAnsi="Times New Roman" w:eastAsia="Times New Roman" w:cs="Times New Roman"/>
          <w:b w:val="0"/>
          <w:color w:val="000000"/>
          <w:sz w:val="22"/>
        </w:rPr>
        <w:t>Vor jeder Nutzung mit realen Kundendaten müssen Authentifizierung, rollenbasierte Autorisierung und TLS verpflichtend aktiviert werden. CRM-Zugriffe sollten weiterhin nach dem Least-Privilege-Prinzip erfolgen; Schreibwerkzeuge sollten nur in einem getrennten, explizit freigegebenen Prozess mit zusätzlicher menschlicher Bestätigung erwogen werden. Secrets, PII und Auditdaten benötigen definierte Aufbewahrungs-, Lösch- und Zugriffskonzepte.</w:t>
      </w:r>
    </w:p>
    <w:p>
      <w:pPr>
        <w:jc w:val="both"/>
        <w:widowControl/>
      </w:pPr>
      <w:r>
        <w:rPr>
          <w:rFonts w:ascii="Times New Roman" w:hAnsi="Times New Roman" w:eastAsia="Times New Roman" w:cs="Times New Roman"/>
          <w:b w:val="0"/>
          <w:color w:val="000000"/>
          <w:sz w:val="22"/>
        </w:rPr>
        <w:t>Der Betrieb sollte Route, Modell- und Promptversion, verwendete Quellen, Werkzeugaufrufe, Sicherheitsentscheidungen, Fallback-Gründe und Latenzen nachvollziehbar protokollieren, ohne unnötige personenbezogene Inhalte zu speichern. Readiness-Prüfungen sollten reale Funktionsprüfungen umfassen, wie es beim Output-Guardrail durch ein Test-Embedding umgesetzt wurde. Abhängigkeiten wie CRM, Vektorspeicher, Guardrail-Modell und externer Antwortdienst benötigen Monitoring, Timeouts, Alarmierung und dokumentierte Degradationspfade.</w:t>
      </w:r>
    </w:p>
    <w:p>
      <w:pPr>
        <w:jc w:val="both"/>
        <w:widowControl/>
      </w:pPr>
      <w:r>
        <w:rPr>
          <w:rFonts w:ascii="Times New Roman" w:hAnsi="Times New Roman" w:eastAsia="Times New Roman" w:cs="Times New Roman"/>
          <w:b w:val="0"/>
          <w:color w:val="000000"/>
          <w:sz w:val="22"/>
        </w:rPr>
        <w:t>Ein produktiver Rollout sollte stufenweise erfolgen: zunächst mit synthetischen oder anonymisierten Daten, anschließend in einem begrenzten internen Pilot mit menschlicher Prüfung und erst nach erfolgreicher fachlicher und datenschutzrechtlicher Bewertung in einem erweiterten Betrieb. Dabei sind Fehlerraten nicht nur global, sondern nach Produkten, Nutzergruppen und Sprachen zu überwachen. Eine hohe Downstream Operational Completion darf nicht als Qualitäts-SLA verwendet werden; für den Betrieb sind getrennte Schwellen für fachliche Freigabe, Sicherheit und Verfügbarkeit erforderlich.</w:t>
      </w:r>
    </w:p>
    <w:p>
      <w:pPr>
        <w:pStyle w:val="Heading3"/>
        <w:widowControl/>
        <w:keepNext/>
      </w:pPr>
      <w:r>
        <w:rPr>
          <w:rFonts w:ascii="Times New Roman" w:hAnsi="Times New Roman" w:eastAsia="Times New Roman" w:cs="Times New Roman"/>
          <w:b/>
          <w:color w:val="000000"/>
          <w:sz w:val="24"/>
        </w:rPr>
        <w:t>6.6.3 Empfehlungen für Anwender im Versicherungsumfeld</w:t>
      </w:r>
    </w:p>
    <w:p>
      <w:pPr>
        <w:jc w:val="both"/>
        <w:widowControl/>
      </w:pPr>
      <w:r>
        <w:rPr>
          <w:rFonts w:ascii="Times New Roman" w:hAnsi="Times New Roman" w:eastAsia="Times New Roman" w:cs="Times New Roman"/>
          <w:b w:val="0"/>
          <w:color w:val="000000"/>
          <w:sz w:val="22"/>
        </w:rPr>
        <w:t>Anwender sollten die Antwort als Unterstützung und nicht als rechtsverbindliche Entscheidung verstehen. Individuelle Vertragswerte sind anhand der ausgewiesenen CRM-Herkunft zu prüfen; allgemeine Bedingungen und Ausschlüsse sollten über die angegebenen Dokumentseiten nachvollzogen werden. Widersprüche zwischen CRM und Dokumenten, fehlende Quellen oder gekennzeichnete Teilantworten erfordern eine manuelle Klärung.</w:t>
      </w:r>
    </w:p>
    <w:p>
      <w:pPr>
        <w:jc w:val="both"/>
        <w:widowControl/>
      </w:pPr>
      <w:r>
        <w:rPr>
          <w:rFonts w:ascii="Times New Roman" w:hAnsi="Times New Roman" w:eastAsia="Times New Roman" w:cs="Times New Roman"/>
          <w:b w:val="0"/>
          <w:color w:val="000000"/>
          <w:sz w:val="22"/>
        </w:rPr>
        <w:t>Anfragen sollten möglichst eine eindeutige Kunden-, Policen- oder Schadensreferenz enthalten, ohne unnötige personenbezogene Daten offenzulegen. Breite Listen- oder Exportanfragen gehören nicht zum vorgesehenen Einsatzbereich. Bei sicherheitsrelevanten Fallbacks oder unzureichender Evidenz sollte nicht versucht werden, die Sperre durch Umformulierungen zu umgehen. Stattdessen ist der Fall über den vorgesehenen fachlichen oder technischen Eskalationsweg zu prüfen.</w:t>
      </w:r>
    </w:p>
    <w:p>
      <w:pPr>
        <w:pStyle w:val="Heading2"/>
        <w:widowControl/>
        <w:keepNext/>
      </w:pPr>
      <w:r>
        <w:rPr>
          <w:rFonts w:ascii="Times New Roman" w:hAnsi="Times New Roman" w:eastAsia="Times New Roman" w:cs="Times New Roman"/>
          <w:b/>
          <w:color w:val="000000"/>
          <w:sz w:val="28"/>
        </w:rPr>
        <w:t>6.7 Limitationen</w:t>
      </w:r>
    </w:p>
    <w:p>
      <w:pPr>
        <w:pStyle w:val="Heading3"/>
        <w:widowControl/>
        <w:keepNext/>
      </w:pPr>
      <w:r>
        <w:rPr>
          <w:rFonts w:ascii="Times New Roman" w:hAnsi="Times New Roman" w:eastAsia="Times New Roman" w:cs="Times New Roman"/>
          <w:b/>
          <w:color w:val="000000"/>
          <w:sz w:val="24"/>
        </w:rPr>
        <w:t>6.7.1 Limitationen der Datengrundlage</w:t>
      </w:r>
    </w:p>
    <w:p>
      <w:pPr>
        <w:jc w:val="both"/>
        <w:widowControl/>
      </w:pPr>
      <w:r>
        <w:rPr>
          <w:rFonts w:ascii="Times New Roman" w:hAnsi="Times New Roman" w:eastAsia="Times New Roman" w:cs="Times New Roman"/>
          <w:b w:val="0"/>
          <w:color w:val="000000"/>
          <w:sz w:val="22"/>
        </w:rPr>
        <w:t>Das aktive Dokumentkorpus umfasst nur elf englischsprachige Helvetia-PDFs mit 138 Seiten und 1.585 Chunks. Damit sind weder die Breite des Versicherungsmarktes noch unterschiedliche Dokumentqualitäten, Produktgenerationen und Rechtsräume abgedeckt. Frühere Dokumente eines anderen Anbieters wurden bewusst ausgeschlossen; dies verbessert die Korpuskonsistenz, reduziert aber die Vielfalt.</w:t>
      </w:r>
    </w:p>
    <w:p>
      <w:pPr>
        <w:jc w:val="both"/>
        <w:widowControl/>
      </w:pPr>
      <w:r>
        <w:rPr>
          <w:rFonts w:ascii="Times New Roman" w:hAnsi="Times New Roman" w:eastAsia="Times New Roman" w:cs="Times New Roman"/>
          <w:b w:val="0"/>
          <w:color w:val="000000"/>
          <w:sz w:val="22"/>
        </w:rPr>
        <w:t>Die CRM-Daten bestehen aus zehn synthetischen Kontakten, 16 Policen und acht Schäden. Sie ermöglichen kontrollierte Tests ohne reale personenbezogene Daten, bilden jedoch keine fehlenden Werte, Dubletten, fehlerhaften Beziehungen, historischen Migrationen oder komplexen Berechtigungssituationen realer Bestände ab. Auch der balancierte 80-Fall-Datensatz entspricht nicht der natürlichen Häufigkeitsverteilung betrieblicher Anfragen. Der historische InsuranceQA-Bestand ist im aktuellen Runtime-Korpus nicht aktiv und repräsentiert die heutige Wissensbasis nur eingeschränkt.</w:t>
      </w:r>
    </w:p>
    <w:p>
      <w:pPr>
        <w:pStyle w:val="Heading3"/>
        <w:widowControl/>
        <w:keepNext/>
      </w:pPr>
      <w:r>
        <w:rPr>
          <w:rFonts w:ascii="Times New Roman" w:hAnsi="Times New Roman" w:eastAsia="Times New Roman" w:cs="Times New Roman"/>
          <w:b/>
          <w:color w:val="000000"/>
          <w:sz w:val="24"/>
        </w:rPr>
        <w:t>6.7.2 Methodische Limitationen</w:t>
      </w:r>
    </w:p>
    <w:p>
      <w:pPr>
        <w:jc w:val="both"/>
        <w:widowControl/>
      </w:pPr>
      <w:r>
        <w:rPr>
          <w:rFonts w:ascii="Times New Roman" w:hAnsi="Times New Roman" w:eastAsia="Times New Roman" w:cs="Times New Roman"/>
          <w:b w:val="0"/>
          <w:color w:val="000000"/>
          <w:sz w:val="22"/>
        </w:rPr>
        <w:t>Die Evaluation kombiniert Artefakte unterschiedlicher Systemstände. Diese Trennung wird transparent ausgewiesen, verhindert aber eine einheitliche Gesamtbewertung. Der Referenzlauf verwendet ein früheres Antwortmodell und keine heutige CRM–RAG-Integration; aktuelle Routing-Ergebnisse enthalten dagegen keine vollständige humanvalidierte Antwortbewertung. Kausale Aussagen über den Beitrag einzelner Komponenten sind deshalb nur begrenzt möglich.</w:t>
      </w:r>
    </w:p>
    <w:p>
      <w:pPr>
        <w:jc w:val="both"/>
        <w:widowControl/>
      </w:pPr>
      <w:r>
        <w:rPr>
          <w:rFonts w:ascii="Times New Roman" w:hAnsi="Times New Roman" w:eastAsia="Times New Roman" w:cs="Times New Roman"/>
          <w:b w:val="0"/>
          <w:color w:val="000000"/>
          <w:sz w:val="22"/>
        </w:rPr>
        <w:t>Mehrere Datensätze wurden technisch konstruiert oder deterministisch ausgewählt. Dadurch sind klare Sollwerte möglich, zugleich können die Fälle näher an den implementierten Regeln liegen als frei formulierte reale Anfragen. Der Reranker-Benchmark umfasst nur 64 Fälle mit jeweils acht Kandidaten. Die kleinen Live-Fallstudien und Wiederholungen derselben Frage sind keine unabhängigen Stichproben. Vollständige Ablationen für hybrides Retrieval, Reranking, Guardrails und Groundedness im gleichen Systemstand fehlen.</w:t>
      </w:r>
    </w:p>
    <w:p>
      <w:pPr>
        <w:pStyle w:val="Heading3"/>
        <w:widowControl/>
        <w:keepNext/>
      </w:pPr>
      <w:r>
        <w:rPr>
          <w:rFonts w:ascii="Times New Roman" w:hAnsi="Times New Roman" w:eastAsia="Times New Roman" w:cs="Times New Roman"/>
          <w:b/>
          <w:color w:val="000000"/>
          <w:sz w:val="24"/>
        </w:rPr>
        <w:t>6.7.3 Technische Limitationen</w:t>
      </w:r>
    </w:p>
    <w:p>
      <w:pPr>
        <w:jc w:val="both"/>
        <w:widowControl/>
      </w:pPr>
      <w:r>
        <w:rPr>
          <w:rFonts w:ascii="Times New Roman" w:hAnsi="Times New Roman" w:eastAsia="Times New Roman" w:cs="Times New Roman"/>
          <w:b w:val="0"/>
          <w:color w:val="000000"/>
          <w:sz w:val="22"/>
        </w:rPr>
        <w:t>Der Prototyp läuft auf einer einzelnen CPU-basierten Windows-Umgebung ohne CUDA-GPU. Die Ergebnisse sind von dieser Hardware, den installierten Bibliotheksversionen und dem jeweiligen Cache-Zustand abhängig. Nicht alle Abhängigkeiten sind fest gepinnt. Das Antwortmodell besitzt keinen festgelegten Snapshot und keinen Seed; bei Temperature 0,4 können Wiederholungsläufe variieren.</w:t>
      </w:r>
    </w:p>
    <w:p>
      <w:pPr>
        <w:jc w:val="both"/>
        <w:widowControl/>
      </w:pPr>
      <w:r>
        <w:rPr>
          <w:rFonts w:ascii="Times New Roman" w:hAnsi="Times New Roman" w:eastAsia="Times New Roman" w:cs="Times New Roman"/>
          <w:b w:val="0"/>
          <w:color w:val="000000"/>
          <w:sz w:val="22"/>
        </w:rPr>
        <w:t>Der Dokument-Loader unterstützt keine aktive OCR-Pipeline. Allgemeine Unicode-Normalisierung, systematische Entfernung wiederkehrender Kopf- und Fußzeilen, Korrektur von Silbentrennungen und semantische Deduplizierung fehlen. Die Segmentierung ist zeichenbasiert und kann fachlich zusammengehörige Passagen trennen. Query-Rewrite, Context Compression, Self-Check und eine deterministische Vollständigkeitsprüfung sind deaktiviert.</w:t>
      </w:r>
    </w:p>
    <w:p>
      <w:pPr>
        <w:jc w:val="both"/>
        <w:widowControl/>
      </w:pPr>
      <w:r>
        <w:rPr>
          <w:rFonts w:ascii="Times New Roman" w:hAnsi="Times New Roman" w:eastAsia="Times New Roman" w:cs="Times New Roman"/>
          <w:b w:val="0"/>
          <w:color w:val="000000"/>
          <w:sz w:val="22"/>
        </w:rPr>
        <w:t>Auf Betriebsebene fehlen eigene API-Authentifizierung und aktive TLS-Konfiguration; Fail-closed ist deaktiviert. Die Pipeline erlaubt höchstens eine gleichzeitige RAG-Verarbeitung pro Backendprozess. Der externe Antwortdienst schafft zusätzliche Abhängigkeiten hinsichtlich Verfügbarkeit, Kosten, Datenschutz und Modelländerungen. Diese Grenzen schließen einen unmittelbaren Produktivbetrieb mit realen Kundendaten aus.</w:t>
      </w:r>
    </w:p>
    <w:p>
      <w:pPr>
        <w:pStyle w:val="Heading3"/>
        <w:widowControl/>
        <w:keepNext/>
      </w:pPr>
      <w:r>
        <w:rPr>
          <w:rFonts w:ascii="Times New Roman" w:hAnsi="Times New Roman" w:eastAsia="Times New Roman" w:cs="Times New Roman"/>
          <w:b/>
          <w:color w:val="000000"/>
          <w:sz w:val="24"/>
        </w:rPr>
        <w:t>6.7.4 Limitationen der Evaluation</w:t>
      </w:r>
    </w:p>
    <w:p>
      <w:pPr>
        <w:jc w:val="both"/>
        <w:widowControl/>
      </w:pPr>
      <w:r>
        <w:rPr>
          <w:rFonts w:ascii="Times New Roman" w:hAnsi="Times New Roman" w:eastAsia="Times New Roman" w:cs="Times New Roman"/>
          <w:b w:val="0"/>
          <w:color w:val="000000"/>
          <w:sz w:val="22"/>
        </w:rPr>
        <w:t>Für den finalen integrierten Systemstand liegt kein erneuter vollständiger Lauf mit 200 QA- und 200 Safety-Fällen vor. Die aktuelle Evaluation mit 80 Fällen prüft Routing und operative Ausführung, aber nicht vollständig die fachliche Qualität jeder Antwort. Eine Nutzerstudie mit Sachbearbeitenden oder Kundenservice-Mitarbeitenden wurde nicht durchgeführt. Daher fehlen Befunde zu Verständlichkeit, Vertrauen, Arbeitszeit, Fehlinterpretationen und tatsächlichem Nutzen.</w:t>
      </w:r>
    </w:p>
    <w:p>
      <w:pPr>
        <w:jc w:val="both"/>
        <w:widowControl/>
      </w:pPr>
      <w:r>
        <w:rPr>
          <w:rFonts w:ascii="Times New Roman" w:hAnsi="Times New Roman" w:eastAsia="Times New Roman" w:cs="Times New Roman"/>
          <w:b w:val="0"/>
          <w:color w:val="000000"/>
          <w:sz w:val="22"/>
        </w:rPr>
        <w:t>Die Groundedness-Auswertung basiert auf 498 Weak-Label-Fällen ohne abgeschlossene unabhängige Humanannotation. Die gewählte Schwelle wurde auf technisch erzeugten Daten kalibriert. Source Presence und Citation Support sind nur Näherungen; die ALCE-orientierten Metriken liegen nicht als primäre persistierte Gesamtauswertung vor. Ressourcenmessungen sind Momentaufnahmen, und route-spezifische Last-, Kosten- und Langzeittests fehlen.</w:t>
      </w:r>
    </w:p>
    <w:p>
      <w:pPr>
        <w:pStyle w:val="Heading3"/>
        <w:widowControl/>
        <w:keepNext/>
      </w:pPr>
      <w:r>
        <w:rPr>
          <w:rFonts w:ascii="Times New Roman" w:hAnsi="Times New Roman" w:eastAsia="Times New Roman" w:cs="Times New Roman"/>
          <w:b/>
          <w:color w:val="000000"/>
          <w:sz w:val="24"/>
        </w:rPr>
        <w:t>6.7.5 Einschränkungen der Übertragbarkeit</w:t>
      </w:r>
    </w:p>
    <w:p>
      <w:pPr>
        <w:jc w:val="both"/>
        <w:widowControl/>
      </w:pPr>
      <w:r>
        <w:rPr>
          <w:rFonts w:ascii="Times New Roman" w:hAnsi="Times New Roman" w:eastAsia="Times New Roman" w:cs="Times New Roman"/>
          <w:b w:val="0"/>
          <w:color w:val="000000"/>
          <w:sz w:val="22"/>
        </w:rPr>
        <w:t>Die Ergebnisse lassen sich nicht unmittelbar auf andere Versicherer, Sparten, Sprachen oder Rechtsordnungen übertragen. Produktstrukturen, CRM-Schemata, Dokumentterminologie und Berechtigungsmodelle unterscheiden sich. Die englischsprachige Wissensbasis und der englische Antwortprompt begrenzen Aussagen über deutsche Fachkommunikation, obwohl das Embedding-Modell mehrsprachig ist. Auch eine Übertragung auf reale Kundendaten würde zusätzliche Datenschutz-, Sicherheits- und Governance-Anforderungen auslösen.</w:t>
      </w:r>
    </w:p>
    <w:p>
      <w:pPr>
        <w:jc w:val="both"/>
        <w:widowControl/>
      </w:pPr>
      <w:r>
        <w:rPr>
          <w:rFonts w:ascii="Times New Roman" w:hAnsi="Times New Roman" w:eastAsia="Times New Roman" w:cs="Times New Roman"/>
          <w:b w:val="0"/>
          <w:color w:val="000000"/>
          <w:sz w:val="22"/>
        </w:rPr>
        <w:t>Die Modellwahl ist an das untersuchte CPU-Setup gebunden. Auf GPU-Hardware oder bei anderen Kandidatenmengen kann sich der Qualitäts-Latenz-Kompromiss ändern. Ebenso ist die hohe Routinggenauigkeit von den vier definierten Klassen und der kontrollierten Anfrageverteilung abhängig. Neue Werkzeuge oder frei formulierte Mehrfachanliegen würden einen erweiterten Entwurf und eine neue Evaluation erfordern.</w:t>
      </w:r>
    </w:p>
    <w:p>
      <w:pPr>
        <w:pStyle w:val="Heading2"/>
        <w:widowControl/>
        <w:keepNext/>
      </w:pPr>
      <w:r>
        <w:rPr>
          <w:rFonts w:ascii="Times New Roman" w:hAnsi="Times New Roman" w:eastAsia="Times New Roman" w:cs="Times New Roman"/>
          <w:b/>
          <w:color w:val="000000"/>
          <w:sz w:val="28"/>
        </w:rPr>
        <w:t>6.8 Bedrohungen der Validität</w:t>
      </w:r>
    </w:p>
    <w:p>
      <w:pPr>
        <w:pStyle w:val="Heading3"/>
        <w:widowControl/>
        <w:keepNext/>
      </w:pPr>
      <w:r>
        <w:rPr>
          <w:rFonts w:ascii="Times New Roman" w:hAnsi="Times New Roman" w:eastAsia="Times New Roman" w:cs="Times New Roman"/>
          <w:b/>
          <w:color w:val="000000"/>
          <w:sz w:val="24"/>
        </w:rPr>
        <w:t>6.8.1 Interne Validität</w:t>
      </w:r>
    </w:p>
    <w:p>
      <w:pPr>
        <w:jc w:val="both"/>
        <w:widowControl/>
      </w:pPr>
      <w:r>
        <w:rPr>
          <w:rFonts w:ascii="Times New Roman" w:hAnsi="Times New Roman" w:eastAsia="Times New Roman" w:cs="Times New Roman"/>
          <w:b w:val="0"/>
          <w:color w:val="000000"/>
          <w:sz w:val="22"/>
        </w:rPr>
        <w:t>Die interne Validität wird vor allem durch wechselnde Systemstände, Konfigurationen und Laufzeitbedingungen bedroht. Historische und aktuelle Ergebnisse könnten fälschlich als direkte Entwicklungslinie gelesen werden, obwohl Modell, Korpus, Schwellenwerte und CRM-Integration abweichen. Die getrennte Ergebnisdarstellung reduziert dieses Risiko, beseitigt es aber nicht vollständig.</w:t>
      </w:r>
    </w:p>
    <w:p>
      <w:pPr>
        <w:jc w:val="both"/>
        <w:widowControl/>
      </w:pPr>
      <w:r>
        <w:rPr>
          <w:rFonts w:ascii="Times New Roman" w:hAnsi="Times New Roman" w:eastAsia="Times New Roman" w:cs="Times New Roman"/>
          <w:b w:val="0"/>
          <w:color w:val="000000"/>
          <w:sz w:val="22"/>
        </w:rPr>
        <w:t>Cache-Zustand, Containerbereitstellung und externe Dienste beeinflussten die beobachtete Laufzeit und Stabilität. Die früheren CRM- und Guardrail-Fehler waren Bereitstellungsprobleme; ihre Beseitigung belegt korrekte Konfiguration, aber nicht automatisch langfristige Robustheit. Wiederholte Fragen und manuell konstruierte Fälle können außerdem Lerneffekte bei der Entwicklung oder eine unbeabsichtigte Anpassung der Regeln an bekannte Muster begünstigen.</w:t>
      </w:r>
    </w:p>
    <w:p>
      <w:pPr>
        <w:pStyle w:val="Heading3"/>
        <w:widowControl/>
        <w:keepNext/>
      </w:pPr>
      <w:r>
        <w:rPr>
          <w:rFonts w:ascii="Times New Roman" w:hAnsi="Times New Roman" w:eastAsia="Times New Roman" w:cs="Times New Roman"/>
          <w:b/>
          <w:color w:val="000000"/>
          <w:sz w:val="24"/>
        </w:rPr>
        <w:t>6.8.2 Externe Validität</w:t>
      </w:r>
    </w:p>
    <w:p>
      <w:pPr>
        <w:jc w:val="both"/>
        <w:widowControl/>
      </w:pPr>
      <w:r>
        <w:rPr>
          <w:rFonts w:ascii="Times New Roman" w:hAnsi="Times New Roman" w:eastAsia="Times New Roman" w:cs="Times New Roman"/>
          <w:b w:val="0"/>
          <w:color w:val="000000"/>
          <w:sz w:val="22"/>
        </w:rPr>
        <w:t>Die externe Validität ist durch den kleinen, anbieterspezifischen Dokumentbestand, synthetische CRM-Daten und die kontrollierte Testumgebung begrenzt. Reale Anfragen enthalten häufiger unvollständige Identifikatoren, Tippfehler, mehrere Anliegen, fachliche Mehrdeutigkeit und organisationsspezifische Abkürzungen. Auch reale Dokumentbestände können gescannte Seiten, widersprüchliche Versionen oder unvollständige Metadaten enthalten. Die beobachteten Erfolgsraten sind deshalb nicht als erwartete Produktivwerte zu interpretieren.</w:t>
      </w:r>
    </w:p>
    <w:p>
      <w:pPr>
        <w:pStyle w:val="Heading3"/>
        <w:widowControl/>
        <w:keepNext/>
      </w:pPr>
      <w:r>
        <w:rPr>
          <w:rFonts w:ascii="Times New Roman" w:hAnsi="Times New Roman" w:eastAsia="Times New Roman" w:cs="Times New Roman"/>
          <w:b/>
          <w:color w:val="000000"/>
          <w:sz w:val="24"/>
        </w:rPr>
        <w:t>6.8.3 Konstruktvalidität</w:t>
      </w:r>
    </w:p>
    <w:p>
      <w:pPr>
        <w:jc w:val="both"/>
        <w:widowControl/>
      </w:pPr>
      <w:r>
        <w:rPr>
          <w:rFonts w:ascii="Times New Roman" w:hAnsi="Times New Roman" w:eastAsia="Times New Roman" w:cs="Times New Roman"/>
          <w:b w:val="0"/>
          <w:color w:val="000000"/>
          <w:sz w:val="22"/>
        </w:rPr>
        <w:t>Mehrere Metriken bilden die beabsichtigten Qualitätskonstrukte nur teilweise ab. Token F1 misst lexikalische Überlappung, nicht umfassend semantische oder fachliche Richtigkeit. Source Presence erfasst eine sichtbare Quelle, nicht deren Eignung. Citation Support prüft lexikalische Unterstützung durch zurückgegebenen Kontext, aber nicht zwingend die exakte Marker-Zuordnung. Groundedness misst die Stützung vorhandener Aussagen, nicht Vollständigkeit oder Wahrheit der Quelle. Routing Accuracy und Downstream Operational Completion erfassen Pfadauswahl beziehungsweise technischen Abschluss, nicht die Qualität des Inhalts.</w:t>
      </w:r>
    </w:p>
    <w:p>
      <w:pPr>
        <w:jc w:val="both"/>
        <w:widowControl/>
      </w:pPr>
      <w:r>
        <w:rPr>
          <w:rFonts w:ascii="Times New Roman" w:hAnsi="Times New Roman" w:eastAsia="Times New Roman" w:cs="Times New Roman"/>
          <w:b w:val="0"/>
          <w:color w:val="000000"/>
          <w:sz w:val="22"/>
        </w:rPr>
        <w:t>Die Verwendung mehrerer getrennter Kennzahlen verbessert die Konstruktvalidität, kann die fehlende fachliche Humanbewertung aber nicht ersetzen. Zukünftige Evaluationen sollten deshalb Metriken mit claim-basierter Annotation, Requirement Recall, Entitäts- und Zahlenkonsistenz sowie Expertenurteilen triangulieren.</w:t>
      </w:r>
    </w:p>
    <w:p>
      <w:pPr>
        <w:pStyle w:val="Heading3"/>
        <w:widowControl/>
        <w:keepNext/>
      </w:pPr>
      <w:r>
        <w:rPr>
          <w:rFonts w:ascii="Times New Roman" w:hAnsi="Times New Roman" w:eastAsia="Times New Roman" w:cs="Times New Roman"/>
          <w:b/>
          <w:color w:val="000000"/>
          <w:sz w:val="24"/>
        </w:rPr>
        <w:t>6.8.4 Schlussfolgerungsvalidität</w:t>
      </w:r>
    </w:p>
    <w:p>
      <w:pPr>
        <w:jc w:val="both"/>
        <w:widowControl/>
      </w:pPr>
      <w:r>
        <w:rPr>
          <w:rFonts w:ascii="Times New Roman" w:hAnsi="Times New Roman" w:eastAsia="Times New Roman" w:cs="Times New Roman"/>
          <w:b w:val="0"/>
          <w:color w:val="000000"/>
          <w:sz w:val="22"/>
        </w:rPr>
        <w:t>Die statistischen Schlussfolgerungen sind durch kleine Stichproben und die Struktur der Daten begrenzt. Der globale Kategorienunterschied beim Token F1 erlaubt ohne Post-hoc-Tests keine Aussage über konkrete Kategorien. Die zwei zusätzlichen Top-1-Treffer der größeren Reranker waren statistisch nicht abgesichert; daraus darf keine Qualitätsüberlegenheit abgeleitet werden. Dagegen war der konsistente Latenzvorteil von MiniLM in den gepaarten Fällen deutlich, bleibt aber an den Benchmark gebunden.</w:t>
      </w:r>
    </w:p>
    <w:p>
      <w:pPr>
        <w:jc w:val="both"/>
        <w:widowControl/>
      </w:pPr>
      <w:r>
        <w:rPr>
          <w:rFonts w:ascii="Times New Roman" w:hAnsi="Times New Roman" w:eastAsia="Times New Roman" w:cs="Times New Roman"/>
          <w:b w:val="0"/>
          <w:color w:val="000000"/>
          <w:sz w:val="22"/>
        </w:rPr>
        <w:t>Wilson-Intervalle beschreiben Unsicherheit innerhalb der jeweiligen Stichprobe, nicht die Übertragbarkeit auf reale Anfragen. Die Groundedness-Kennzahlen wirken präzise, hängen jedoch von Weak Labels und der gewählten Schwelle ab. Insgesamt sollten die Ergebnisse als Evidenz für technische Machbarkeit und als Ausgangspunkt weiterführender Validierung verstanden werden, nicht als abschließender Wirksamkeitsnachweis.</w:t>
      </w:r>
    </w:p>
    <w:p>
      <w:pPr>
        <w:pStyle w:val="Heading2"/>
        <w:widowControl/>
        <w:keepNext/>
      </w:pPr>
      <w:r>
        <w:rPr>
          <w:rFonts w:ascii="Times New Roman" w:hAnsi="Times New Roman" w:eastAsia="Times New Roman" w:cs="Times New Roman"/>
          <w:b/>
          <w:color w:val="000000"/>
          <w:sz w:val="28"/>
        </w:rPr>
        <w:t>6.9 Zusammenführung von Erkenntnissen und Empfehlungen</w:t>
      </w:r>
    </w:p>
    <w:p>
      <w:pPr>
        <w:jc w:val="both"/>
        <w:widowControl/>
      </w:pPr>
      <w:r>
        <w:rPr>
          <w:rFonts w:ascii="Times New Roman" w:hAnsi="Times New Roman" w:eastAsia="Times New Roman" w:cs="Times New Roman"/>
          <w:b w:val="0"/>
          <w:color w:val="000000"/>
          <w:sz w:val="22"/>
        </w:rPr>
        <w:t>Aus den Ergebnissen ergibt sich ein konsistentes Bild mit unterschiedlichen Reifegraden. Für Routing und operative Integration ist der Nachweis am stärksten: Drei fachliche Pfade wurden vollständig korrekt erkannt, der Denied-Pfad in 19 von 20 Fällen, und alle tatsächlich gewählten Pfade endeten technisch oder kontrolliert. Die praktische Konsequenz ist, das deterministische Routing beizubehalten, aber Broad-Access-Muster systematisch zu erweitern und unsichere Fälle sicher zu behandeln.</w:t>
      </w:r>
    </w:p>
    <w:p>
      <w:pPr>
        <w:jc w:val="both"/>
        <w:widowControl/>
      </w:pPr>
      <w:r>
        <w:rPr>
          <w:rFonts w:ascii="Times New Roman" w:hAnsi="Times New Roman" w:eastAsia="Times New Roman" w:cs="Times New Roman"/>
          <w:b w:val="0"/>
          <w:color w:val="000000"/>
          <w:sz w:val="22"/>
        </w:rPr>
        <w:t>Für Retrieval und Reranking ist belegt, dass relevante Evidenz häufig erreichbar ist und ein kompakter Reranker unter CPU-Bedingungen einen günstigen Kompromiss bietet. Gleichzeitig zeigen Context Precision und der Lara-Fall, dass semantische Relevanz durch fachliche Filter ergänzt werden muss. Produkt-, Status-, Zeit- und Entitätslogik sollten deshalb als explizite Kontrollschicht erhalten bleiben.</w:t>
      </w:r>
    </w:p>
    <w:p>
      <w:pPr>
        <w:jc w:val="both"/>
        <w:widowControl/>
      </w:pPr>
      <w:r>
        <w:rPr>
          <w:rFonts w:ascii="Times New Roman" w:hAnsi="Times New Roman" w:eastAsia="Times New Roman" w:cs="Times New Roman"/>
          <w:b w:val="0"/>
          <w:color w:val="000000"/>
          <w:sz w:val="22"/>
        </w:rPr>
        <w:t>Für Antwortqualität und Quellenbezug ist die Lage gemischt. Quellen können sichtbar gemacht und Claims technisch geprüft werden, doch Zitationspräsenz, Unterstützung und Vollständigkeit fallen auseinander. Der nächste Entwicklungsschritt sollte daher nicht primär ein größeres Antwortmodell sein, sondern eine gemeinsame aktuelle Evaluation mit humanvalidierten Anforderungen, claim-nahen Zitationen und einer getrennten Vollständigkeitsprüfung.</w:t>
      </w:r>
    </w:p>
    <w:p>
      <w:pPr>
        <w:jc w:val="both"/>
        <w:widowControl/>
      </w:pPr>
      <w:r>
        <w:rPr>
          <w:rFonts w:ascii="Times New Roman" w:hAnsi="Times New Roman" w:eastAsia="Times New Roman" w:cs="Times New Roman"/>
          <w:b w:val="0"/>
          <w:color w:val="000000"/>
          <w:sz w:val="22"/>
        </w:rPr>
        <w:t>Für Sicherheit ist das read-only Werkzeugdesign der robusteste Befund. Es begrenzt mögliche Schäden unabhängig von sprachlichen Anweisungen. Vor einem realen Einsatz müssen jedoch Authentifizierung, Autorisierung, TLS, Fail-closed-Entscheidungen und betriebliche Überwachung ergänzt werden. Die Architektur sollte weiterhin als Assistenzsystem mit menschlicher Verantwortung positioniert bleiben.</w:t>
      </w:r>
    </w:p>
    <w:p>
      <w:pPr>
        <w:jc w:val="both"/>
        <w:widowControl/>
      </w:pPr>
      <w:r>
        <w:rPr>
          <w:rFonts w:ascii="Times New Roman" w:hAnsi="Times New Roman" w:eastAsia="Times New Roman" w:cs="Times New Roman"/>
          <w:b w:val="0"/>
          <w:color w:val="000000"/>
          <w:sz w:val="22"/>
        </w:rPr>
        <w:t>Die übergreifende Empfehlung lautet somit, den Prototyp schrittweise zu härten und jeden Ausbau mit einem versionierten, pfadübergreifenden Evaluationslauf zu verbinden. Technische Betriebsfähigkeit, fachliche Freigabe und Sicherheitsfreigabe müssen getrennte Gates bleiben. Erst wenn alle drei Ebenen auf realitätsnahen, unabhängig annotierten Daten bestehen, ist eine Erweiterung über einen kontrollierten internen Pilot hinaus begründbar.</w:t>
      </w:r>
    </w:p>
    <w:p>
      <w:pPr>
        <w:pStyle w:val="Heading2"/>
        <w:widowControl/>
        <w:keepNext/>
      </w:pPr>
      <w:r>
        <w:rPr>
          <w:rFonts w:ascii="Times New Roman" w:hAnsi="Times New Roman" w:eastAsia="Times New Roman" w:cs="Times New Roman"/>
          <w:b/>
          <w:color w:val="000000"/>
          <w:sz w:val="28"/>
        </w:rPr>
        <w:t>6.10 Kapitelzusammenfassung</w:t>
      </w:r>
    </w:p>
    <w:p>
      <w:pPr>
        <w:jc w:val="both"/>
        <w:widowControl/>
      </w:pPr>
      <w:r>
        <w:rPr>
          <w:rFonts w:ascii="Times New Roman" w:hAnsi="Times New Roman" w:eastAsia="Times New Roman" w:cs="Times New Roman"/>
          <w:b w:val="0"/>
          <w:color w:val="000000"/>
          <w:sz w:val="22"/>
        </w:rPr>
        <w:t>Die Diskussion zeigt, dass der entwickelte Proof of Concept die kontrollierte Verbindung von CRM-Daten und Versicherungsdokumenten technisch überzeugend demonstriert. Das deterministische Routing erreichte im aktuellen 80-Fall-Datensatz 98,75 % Accuracy und Macro-F1; Strict End-to-End Success lag ebenfalls bei 98,75 %, während alle 80 tatsächlich gewählten Pfade einen gültigen Downstream-Endzustand erreichten. Die read-only CRM-Integration, die getrennte Evidenzherkunft und die Beseitigung der technischen CRM- und Guardrail-Blocker stützen die operative Machbarkeit.</w:t>
      </w:r>
    </w:p>
    <w:p>
      <w:pPr>
        <w:jc w:val="both"/>
        <w:widowControl/>
      </w:pPr>
      <w:r>
        <w:rPr>
          <w:rFonts w:ascii="Times New Roman" w:hAnsi="Times New Roman" w:eastAsia="Times New Roman" w:cs="Times New Roman"/>
          <w:b w:val="0"/>
          <w:color w:val="000000"/>
          <w:sz w:val="22"/>
        </w:rPr>
        <w:t>Die fachliche Gesamtbewertung bleibt vorsichtiger. Historische Retrieval-Ergebnisse zeigen eine hohe Trefferabdeckung, aber nur mittlere Kontextpräzision sowie begrenzte Antwort- und Zitationswerte. MiniLM bietet im untersuchten CPU-Setup einen günstigen Qualitäts-Latenz-Kompromiss. Groundedness v5 trennt technisch konstruierte PASS- und FAIL-Fälle weitgehend, ist jedoch nicht humanvalidiert und prüft keine vollständige Antwortabdeckung. Der einzelne Denied-Fehler, fehlende Authentifizierung und TLS, deaktiviertes Fail-closed-Verhalten, synthetische CRM-Daten und das Fehlen eines aktuellen umfassenden Antwortbenchmarks verhindern eine Einstufung als produktionsreifes System.</w:t>
      </w:r>
    </w:p>
    <w:p>
      <w:pPr>
        <w:jc w:val="both"/>
        <w:widowControl/>
      </w:pPr>
      <w:r>
        <w:rPr>
          <w:rFonts w:ascii="Times New Roman" w:hAnsi="Times New Roman" w:eastAsia="Times New Roman" w:cs="Times New Roman"/>
          <w:b w:val="0"/>
          <w:color w:val="000000"/>
          <w:sz w:val="22"/>
        </w:rPr>
        <w:t>Damit wird die Forschungsfrage differenziert beantwortet: Die Architekturprinzipien sind umsetzbar und für einen kontrollierten Proof of Concept geeignet; die gleichzeitige Erfüllung aller Qualitätsdimensionen unter realen Bedingungen ist noch nicht abschließend nachgewiesen. Die daraus abgeleiteten Empfehlungen betreffen insbesondere eine humanvalidierte End-to-End-Evaluation des finalen Systemstands, eine separate Vollständigkeitsprüfung, robustere Denied-Erkennung, produktionsgerechte Zugriffssicherung und schrittweise Pilotierung unter menschlicher Kontrolle. Kapitel 7 führt diese Erkenntnisse im Fazit zusammen und leitet zukünftige Arbeiten ab.</w:t>
      </w:r>
    </w:p>
    <w:sectPr w:rsidR="00FC693F" w:rsidRPr="0006063C" w:rsidSect="00034616">
      <w:headerReference w:type="default" r:id="rId9"/>
      <w:footerReference w:type="default" r:id="rId10"/>
      <w:pgSz w:w="11906" w:h="16838"/>
      <w:pgMar w:top="1417" w:right="1361" w:bottom="1417" w:left="1474" w:header="709" w:footer="709" w:gutter="0"/>
      <w:cols w:space="720"/>
      <w:docGrid w:linePitch="360"/>
      <w:pgNumType w:start="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666666"/>
        <w:sz w:val="18"/>
      </w:rPr>
      <w:fldChar w:fldCharType="begin"/>
      <w:instrText xml:space="preserve"> PAGE </w:instrText>
      <w:fldChar w:fldCharType="separate"/>
      <w:t>53</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b w:val="0"/>
        <w:color w:val="666666"/>
        <w:sz w:val="18"/>
      </w:rPr>
      <w:t>6 Diskussion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40" w:lineRule="auto"/>
      <w:outlineLvl w:val="0"/>
    </w:pPr>
    <w:rPr>
      <w:rFonts w:asciiTheme="majorHAnsi" w:eastAsiaTheme="majorEastAsia" w:hAnsiTheme="majorHAnsi" w:cstheme="majorBidi" w:ascii="Times New Roman" w:hAnsi="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Times New Roman" w:hAnsi="Times New Roman"/>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6 - Diskussion</dc:title>
  <dc:subject>Masterarbeit: domänenspezifischer KI-Assistent für die Versicherungsbranche</dc:subject>
  <dc:creator>Seyedeisa Miraeiz</dc:creator>
  <cp:keywords>Diskussion, RAG, CRM, Versicherung, Groundedness</cp:keywords>
  <dc:description>generated by python-docx</dc:description>
  <cp:lastModifiedBy/>
  <cp:revision>1</cp:revision>
  <dcterms:created xsi:type="dcterms:W3CDTF">2013-12-23T23:15:00Z</dcterms:created>
  <dcterms:modified xsi:type="dcterms:W3CDTF">2013-12-23T23:15:00Z</dcterms:modified>
  <cp:category/>
</cp:coreProperties>
</file>