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eastAsia="Microsoft YaHei"/>
          <w:b/>
          <w:color w:val="1B365D"/>
          <w:sz w:val="40"/>
        </w:rPr>
        <w:t>联邦学习梯度压缩本周工作汇报</w:t>
      </w:r>
    </w:p>
    <w:p>
      <w:pPr>
        <w:spacing w:before="0" w:after="280"/>
        <w:jc w:val="center"/>
      </w:pPr>
      <w:r>
        <w:rPr>
          <w:rFonts w:ascii="Calibri" w:hAnsi="Calibri" w:eastAsia="Microsoft YaHei"/>
          <w:color w:val="555555"/>
          <w:sz w:val="22"/>
        </w:rPr>
        <w:t>实验基准升级（Non-IID EMNIST + 双层 CNN）、多比特量化修正与 Stage 2 实验结果</w:t>
      </w:r>
    </w:p>
    <w:tbl>
      <w:tblPr>
        <w:tblW w:type="auto" w:w="0"/>
        <w:jc w:val="center"/>
        <w:tblLook w:firstColumn="1" w:firstRow="1" w:lastColumn="0" w:lastRow="0" w:noHBand="0" w:noVBand="1" w:val="04A0"/>
      </w:tblPr>
      <w:tblGrid>
        <w:gridCol w:w="9360"/>
      </w:tblGrid>
      <w:tr>
        <w:trPr>
          <w:cantSplit/>
        </w:trPr>
        <w:tc>
          <w:tcPr>
            <w:tcW w:type="dxa" w:w="9360"/>
            <w:shd w:fill="F4F7FA"/>
            <w:tcBorders>
              <w:left w:val="single" w:sz="24" w:space="0" w:color="2B5B84"/>
              <w:top w:val="single" w:sz="4" w:space="0" w:color="D0D7DE"/>
              <w:right w:val="single" w:sz="4" w:space="0" w:color="D0D7DE"/>
              <w:bottom w:val="single" w:sz="4" w:space="0" w:color="D0D7DE"/>
            </w:tcBorders>
            <w:tcMar>
              <w:top w:w="120" w:type="dxa"/>
              <w:bottom w:w="120" w:type="dxa"/>
              <w:left w:w="180" w:type="dxa"/>
              <w:right w:w="180" w:type="dxa"/>
            </w:tcMar>
          </w:tcPr>
          <w:p>
            <w:pPr>
              <w:spacing w:before="40" w:after="80"/>
            </w:pPr>
            <w:r>
              <w:rPr>
                <w:rFonts w:ascii="Calibri" w:hAnsi="Calibri" w:eastAsia="Microsoft YaHei"/>
                <w:b/>
                <w:color w:val="1B365D"/>
                <w:sz w:val="22"/>
              </w:rPr>
              <w:t>本周核心推进概览（呼应 10.20 汇报后续计划）</w:t>
            </w:r>
          </w:p>
          <w:p>
            <w:pPr>
              <w:spacing w:before="20" w:after="40" w:line="276" w:lineRule="auto"/>
            </w:pPr>
            <w:r>
              <w:rPr>
                <w:rFonts w:ascii="Calibri" w:hAnsi="Calibri" w:eastAsia="Microsoft YaHei"/>
                <w:b/>
                <w:color w:val="222222"/>
                <w:sz w:val="21"/>
              </w:rPr>
              <w:t>1. 实验评测流程规范化：</w:t>
            </w:r>
            <w:r>
              <w:rPr>
                <w:rFonts w:ascii="Calibri" w:hAnsi="Calibri" w:eastAsia="Microsoft YaHei"/>
                <w:color w:val="222222"/>
                <w:sz w:val="21"/>
              </w:rPr>
              <w:t>参考 DRIVE 开源代码重构了实验框架，统一了变换与量化接口，升级为 N=100 客户端池、每轮随机抽取 M=10 客户端、各客户端使用独立随机种子的标准联邦学习流程。</w:t>
            </w:r>
          </w:p>
          <w:p>
            <w:pPr>
              <w:spacing w:before="20" w:after="40" w:line="276" w:lineRule="auto"/>
            </w:pPr>
            <w:r>
              <w:rPr>
                <w:rFonts w:ascii="Calibri" w:hAnsi="Calibri" w:eastAsia="Microsoft YaHei"/>
                <w:b/>
                <w:color w:val="222222"/>
                <w:sz w:val="21"/>
              </w:rPr>
              <w:t>2. 任务与模型升级：</w:t>
            </w:r>
            <w:r>
              <w:rPr>
                <w:rFonts w:ascii="Calibri" w:hAnsi="Calibri" w:eastAsia="Microsoft YaHei"/>
                <w:color w:val="222222"/>
                <w:sz w:val="21"/>
              </w:rPr>
              <w:t>由 10 分类 IID MNIST + MLP（参数量 50,890）升级为 47 分类 Non-IID EMNIST + 双层 CNN（参数量 108,271），解决了上周所有方法挤在 85% 准确率瓶颈、区分度不足的问题。</w:t>
            </w:r>
          </w:p>
          <w:p>
            <w:pPr>
              <w:spacing w:before="20" w:after="80" w:line="276" w:lineRule="auto"/>
            </w:pPr>
            <w:r>
              <w:rPr>
                <w:rFonts w:ascii="Calibri" w:hAnsi="Calibri" w:eastAsia="Microsoft YaHei"/>
                <w:b/>
                <w:color w:val="222222"/>
                <w:sz w:val="21"/>
              </w:rPr>
              <w:t>3. 量化代码排查与网格实验：</w:t>
            </w:r>
            <w:r>
              <w:rPr>
                <w:rFonts w:ascii="Calibri" w:hAnsi="Calibri" w:eastAsia="Microsoft YaHei"/>
                <w:color w:val="222222"/>
                <w:sz w:val="21"/>
              </w:rPr>
              <w:t>修正了上周 2-bit/3-bit 量化范围过窄的问题，并在新基准上跑完了 bits ∈ {1, 2, 3} × λ ∈ {1.15, 1.3, 1.6, 2.0} 共 18 组百轮对比实验。</w:t>
            </w:r>
          </w:p>
        </w:tc>
      </w:tr>
    </w:tbl>
    <w:p>
      <w:pPr>
        <w:keepNext/>
        <w:spacing w:before="280" w:after="120"/>
      </w:pPr>
      <w:r>
        <w:rPr>
          <w:rFonts w:ascii="Calibri" w:hAnsi="Calibri" w:eastAsia="Microsoft YaHei"/>
          <w:b/>
          <w:color w:val="1B365D"/>
          <w:sz w:val="30"/>
        </w:rPr>
        <w:t>一、 实验基准、数据分布与模型结构升级</w:t>
      </w:r>
    </w:p>
    <w:p>
      <w:pPr>
        <w:keepNext/>
        <w:spacing w:before="200" w:after="80"/>
      </w:pPr>
      <w:r>
        <w:rPr>
          <w:rFonts w:ascii="Calibri" w:hAnsi="Calibri" w:eastAsia="Microsoft YaHei"/>
          <w:b/>
          <w:color w:val="2B5B84"/>
          <w:sz w:val="25"/>
        </w:rPr>
        <w:t>1.1 联邦学习评测流程规范化（参考 DRIVE 架构）</w:t>
      </w:r>
    </w:p>
    <w:p>
      <w:pPr>
        <w:spacing w:before="0" w:after="120" w:line="276" w:lineRule="auto"/>
      </w:pPr>
      <w:r>
        <w:rPr>
          <w:rFonts w:ascii="Calibri" w:hAnsi="Calibri" w:eastAsia="Microsoft YaHei"/>
          <w:color w:val="222222"/>
          <w:sz w:val="22"/>
        </w:rPr>
        <w:t>针对上周汇报中提到的“实验脚本分散、对比流程不统一”问题，本周对照 NeurIPS DRIVE 开源代码的组织方式，将原先分散在 20 多个脚本中的代码整合为统一的模块化结构（统一编码器 encoders.py + 单一运行入口 run_experiment.py + 批量调度脚本）。在联邦训练设置上，将总客户端规模设为 N = 100，每轮随机抽取 M = 10 个客户端进行本地训练并上传更新；同时为每个客户端分配独立的随机种子生成 Hadamard 旋转符号或 Fourier-Kashin 框架，使不同客户端的量化误差在服务端求平均时能够相互抵消。</w:t>
      </w:r>
    </w:p>
    <w:p>
      <w:pPr>
        <w:keepNext/>
        <w:spacing w:before="200" w:after="80"/>
      </w:pPr>
      <w:r>
        <w:rPr>
          <w:rFonts w:ascii="Calibri" w:hAnsi="Calibri" w:eastAsia="Microsoft YaHei"/>
          <w:b/>
          <w:color w:val="2B5B84"/>
          <w:sz w:val="25"/>
        </w:rPr>
        <w:t>1.2 数据分布升级：IID 与 Non-IID（非独立同分布）的原理</w:t>
      </w:r>
    </w:p>
    <w:p>
      <w:pPr>
        <w:spacing w:before="0" w:after="120" w:line="276" w:lineRule="auto"/>
      </w:pPr>
      <w:r>
        <w:rPr>
          <w:rFonts w:ascii="Calibri" w:hAnsi="Calibri" w:eastAsia="Microsoft YaHei"/>
          <w:color w:val="222222"/>
          <w:sz w:val="22"/>
        </w:rPr>
        <w:t>在联邦学习中，数据如何分配给各个客户端直接决定了训练难度和对梯度压缩精度的敏感度：</w:t>
      </w:r>
    </w:p>
    <w:p>
      <w:pPr>
        <w:pStyle w:val="ListBullet"/>
        <w:spacing w:before="20" w:after="60" w:line="276" w:lineRule="auto"/>
        <w:ind w:left="360"/>
      </w:pPr>
      <w:r>
        <w:rPr>
          <w:rFonts w:ascii="Calibri" w:hAnsi="Calibri" w:eastAsia="Microsoft YaHei"/>
          <w:b/>
          <w:color w:val="222222"/>
          <w:sz w:val="22"/>
        </w:rPr>
        <w:t>IID（独立同分布）原理：</w:t>
      </w:r>
      <w:r>
        <w:rPr>
          <w:rFonts w:ascii="Calibri" w:hAnsi="Calibri" w:eastAsia="Microsoft YaHei"/>
          <w:color w:val="222222"/>
          <w:sz w:val="22"/>
        </w:rPr>
        <w:t>相当于把整个数据集的所有图片先彻底洗牌打乱，再平均发给 100 个客户端。此时每个客户端手里都有全部类别的字符，且每个类别的数量比例几乎完全一样。因为大家看到的数据分布一致，每个客户端算出来的梯度更新方向大体相同，哪怕用非常粗糙的压缩方法（只留正负号），服务端拼凑起来也很容易收敛。</w:t>
      </w:r>
    </w:p>
    <w:p>
      <w:pPr>
        <w:pStyle w:val="ListBullet"/>
        <w:spacing w:before="20" w:after="60" w:line="276" w:lineRule="auto"/>
        <w:ind w:left="360"/>
      </w:pPr>
      <w:r>
        <w:rPr>
          <w:rFonts w:ascii="Calibri" w:hAnsi="Calibri" w:eastAsia="Microsoft YaHei"/>
          <w:b/>
          <w:color w:val="222222"/>
          <w:sz w:val="22"/>
        </w:rPr>
        <w:t>Non-IID（非独立同分布）原理：</w:t>
      </w:r>
      <w:r>
        <w:rPr>
          <w:rFonts w:ascii="Calibri" w:hAnsi="Calibri" w:eastAsia="Microsoft YaHei"/>
          <w:color w:val="222222"/>
          <w:sz w:val="22"/>
        </w:rPr>
        <w:t>真实场景中，不同用户的书写习惯和常用字截然不同，数据不可能均匀分布。本周实验采用联邦学习通用的狄利克雷分布（Dirichlet 分布，记为 Dir(α)，本周取 α = 0.3）按类别切分数据：参数 α 越小，不同客户端的数据偏斜越严重。在 α = 0.3 时，每个客户端手里往往只有少数几个类别的字符占绝大多数，而其余几十个类别极少甚至没有。</w:t>
      </w:r>
    </w:p>
    <w:p>
      <w:pPr>
        <w:pStyle w:val="ListBullet"/>
        <w:spacing w:before="20" w:after="160" w:line="276" w:lineRule="auto"/>
        <w:ind w:left="360"/>
      </w:pPr>
      <w:r>
        <w:rPr>
          <w:rFonts w:ascii="Calibri" w:hAnsi="Calibri" w:eastAsia="Microsoft YaHei"/>
          <w:b/>
          <w:color w:val="222222"/>
          <w:sz w:val="22"/>
        </w:rPr>
        <w:t>为什么 Non-IID 更能检验压缩算法？</w:t>
      </w:r>
      <w:r>
        <w:rPr>
          <w:rFonts w:ascii="Calibri" w:hAnsi="Calibri" w:eastAsia="Microsoft YaHei"/>
          <w:color w:val="222222"/>
          <w:sz w:val="22"/>
        </w:rPr>
        <w:t>在 Non-IID 下，每个客户端都只朝着自己仅有的那几个类别去优化，导致不同客户端上传的梯度方向差异很大（即“客户端漂移”）。如果压缩算法把梯度的方向和相对大小破坏得太严重（例如不做变换的 1-bit SignSGD），服务端把 10 个方向各异的粗糙梯度加在一起就会互相打架，导致准确率明显下滑；而高质量的旋转压缩能保留住准确的梯度方向，从而拉开不同算法之间的真实差距。</w:t>
      </w:r>
    </w:p>
    <w:p>
      <w:pPr>
        <w:keepNext/>
        <w:spacing w:before="200" w:after="80"/>
      </w:pPr>
      <w:r>
        <w:rPr>
          <w:rFonts w:ascii="Calibri" w:hAnsi="Calibri" w:eastAsia="Microsoft YaHei"/>
          <w:b/>
          <w:color w:val="2B5B84"/>
          <w:sz w:val="25"/>
        </w:rPr>
        <w:t>1.3 数据集升级：EMNIST 与 MNIST 的核心差别</w:t>
      </w:r>
    </w:p>
    <w:p>
      <w:pPr>
        <w:spacing w:before="0" w:after="120" w:line="276" w:lineRule="auto"/>
      </w:pPr>
      <w:r>
        <w:rPr>
          <w:rFonts w:ascii="Calibri" w:hAnsi="Calibri" w:eastAsia="Microsoft YaHei"/>
          <w:color w:val="222222"/>
          <w:sz w:val="22"/>
        </w:rPr>
        <w:t>上周使用 MNIST 数据集时，所有方法很快都停留在约 85%（或 90% 以上）的准确率平台期，很难看出不同压缩参数的区别。本周将数据集升级为 EMNIST（Balanced 子集），两者的具体对比如下：</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D0D7DE"/>
          <w:insideV w:val="single" w:sz="4" w:space="0" w:color="D0D7DE"/>
          <w:left w:val="none"/>
          <w:right w:val="none"/>
        </w:tblBorders>
      </w:tblPr>
      <w:tblGrid>
        <w:gridCol w:w="2340"/>
        <w:gridCol w:w="2340"/>
        <w:gridCol w:w="2340"/>
        <w:gridCol w:w="2340"/>
      </w:tblGrid>
      <w:tr>
        <w:trPr>
          <w:tblHeader/>
          <w:cantSplit/>
        </w:trPr>
        <w:tc>
          <w:tcPr>
            <w:tcW w:type="dxa" w:w="1728"/>
            <w:vAlign w:val="center"/>
            <w:shd w:fill="1B365D"/>
            <w:tcMar>
              <w:top w:w="80" w:type="dxa"/>
              <w:bottom w:w="80" w:type="dxa"/>
              <w:left w:w="100" w:type="dxa"/>
              <w:right w:w="100" w:type="dxa"/>
            </w:tcMar>
          </w:tcPr>
          <w:p>
            <w:pPr>
              <w:keepNext/>
              <w:spacing w:before="40" w:after="40"/>
              <w:jc w:val="center"/>
            </w:pPr>
            <w:r/>
            <w:r>
              <w:rPr>
                <w:rFonts w:ascii="Calibri" w:hAnsi="Calibri" w:eastAsia="Microsoft YaHei"/>
                <w:b/>
                <w:color w:val="FFFFFF"/>
                <w:sz w:val="20"/>
              </w:rPr>
              <w:t>对比维度</w:t>
            </w:r>
          </w:p>
        </w:tc>
        <w:tc>
          <w:tcPr>
            <w:tcW w:type="dxa" w:w="2160"/>
            <w:vAlign w:val="center"/>
            <w:shd w:fill="1B365D"/>
            <w:tcMar>
              <w:top w:w="80" w:type="dxa"/>
              <w:bottom w:w="80" w:type="dxa"/>
              <w:left w:w="100" w:type="dxa"/>
              <w:right w:w="100" w:type="dxa"/>
            </w:tcMar>
          </w:tcPr>
          <w:p>
            <w:pPr>
              <w:keepNext/>
              <w:spacing w:before="40" w:after="40"/>
              <w:jc w:val="center"/>
            </w:pPr>
            <w:r/>
            <w:r>
              <w:rPr>
                <w:rFonts w:ascii="Calibri" w:hAnsi="Calibri" w:eastAsia="Microsoft YaHei"/>
                <w:b/>
                <w:color w:val="FFFFFF"/>
                <w:sz w:val="20"/>
              </w:rPr>
              <w:t>MNIST（上周使用）</w:t>
            </w:r>
          </w:p>
        </w:tc>
        <w:tc>
          <w:tcPr>
            <w:tcW w:type="dxa" w:w="2592"/>
            <w:vAlign w:val="center"/>
            <w:shd w:fill="1B365D"/>
            <w:tcMar>
              <w:top w:w="80" w:type="dxa"/>
              <w:bottom w:w="80" w:type="dxa"/>
              <w:left w:w="100" w:type="dxa"/>
              <w:right w:w="100" w:type="dxa"/>
            </w:tcMar>
          </w:tcPr>
          <w:p>
            <w:pPr>
              <w:keepNext/>
              <w:spacing w:before="40" w:after="40"/>
              <w:jc w:val="center"/>
            </w:pPr>
            <w:r/>
            <w:r>
              <w:rPr>
                <w:rFonts w:ascii="Calibri" w:hAnsi="Calibri" w:eastAsia="Microsoft YaHei"/>
                <w:b/>
                <w:color w:val="FFFFFF"/>
                <w:sz w:val="20"/>
              </w:rPr>
              <w:t>EMNIST-Balanced（本周使用）</w:t>
            </w:r>
          </w:p>
        </w:tc>
        <w:tc>
          <w:tcPr>
            <w:tcW w:type="dxa" w:w="2880"/>
            <w:vAlign w:val="center"/>
            <w:shd w:fill="1B365D"/>
            <w:tcMar>
              <w:top w:w="80" w:type="dxa"/>
              <w:bottom w:w="80" w:type="dxa"/>
              <w:left w:w="100" w:type="dxa"/>
              <w:right w:w="100" w:type="dxa"/>
            </w:tcMar>
          </w:tcPr>
          <w:p>
            <w:pPr>
              <w:keepNext/>
              <w:spacing w:before="40" w:after="40"/>
              <w:jc w:val="center"/>
            </w:pPr>
            <w:r/>
            <w:r>
              <w:rPr>
                <w:rFonts w:ascii="Calibri" w:hAnsi="Calibri" w:eastAsia="Microsoft YaHei"/>
                <w:b/>
                <w:color w:val="FFFFFF"/>
                <w:sz w:val="20"/>
              </w:rPr>
              <w:t>升级带来的影响</w:t>
            </w:r>
          </w:p>
        </w:tc>
      </w:tr>
      <w:tr>
        <w:trPr>
          <w:cantSplit/>
        </w:trPr>
        <w:tc>
          <w:tcPr>
            <w:tcW w:type="dxa" w:w="1728"/>
            <w:vAlign w:val="center"/>
            <w:tcMar>
              <w:top w:w="60" w:type="dxa"/>
              <w:bottom w:w="60" w:type="dxa"/>
              <w:left w:w="100" w:type="dxa"/>
              <w:right w:w="100" w:type="dxa"/>
            </w:tcMar>
          </w:tcPr>
          <w:p>
            <w:pPr>
              <w:keepNext/>
              <w:spacing w:before="40" w:after="40" w:line="252" w:lineRule="auto"/>
              <w:jc w:val="left"/>
            </w:pPr>
            <w:r/>
            <w:r>
              <w:rPr>
                <w:rFonts w:ascii="Calibri" w:hAnsi="Calibri" w:eastAsia="Microsoft YaHei"/>
                <w:b/>
                <w:color w:val="222222"/>
                <w:sz w:val="20"/>
              </w:rPr>
              <w:t>分类类别数</w:t>
            </w:r>
          </w:p>
        </w:tc>
        <w:tc>
          <w:tcPr>
            <w:tcW w:type="dxa" w:w="2160"/>
            <w:vAlign w:val="center"/>
            <w:tcMar>
              <w:top w:w="60" w:type="dxa"/>
              <w:bottom w:w="60" w:type="dxa"/>
              <w:left w:w="100" w:type="dxa"/>
              <w:right w:w="100" w:type="dxa"/>
            </w:tcMar>
          </w:tcPr>
          <w:p>
            <w:pPr>
              <w:keepNext/>
              <w:spacing w:before="40" w:after="40" w:line="252" w:lineRule="auto"/>
              <w:jc w:val="center"/>
            </w:pPr>
            <w:r/>
            <w:r>
              <w:rPr>
                <w:rFonts w:ascii="Calibri" w:hAnsi="Calibri" w:eastAsia="Microsoft YaHei"/>
                <w:color w:val="222222"/>
                <w:sz w:val="20"/>
              </w:rPr>
              <w:t>10 类（仅数字 0~9）</w:t>
            </w:r>
          </w:p>
        </w:tc>
        <w:tc>
          <w:tcPr>
            <w:tcW w:type="dxa" w:w="2592"/>
            <w:vAlign w:val="center"/>
            <w:tcMar>
              <w:top w:w="60" w:type="dxa"/>
              <w:bottom w:w="60" w:type="dxa"/>
              <w:left w:w="100" w:type="dxa"/>
              <w:right w:w="100" w:type="dxa"/>
            </w:tcMar>
          </w:tcPr>
          <w:p>
            <w:pPr>
              <w:keepNext/>
              <w:spacing w:before="40" w:after="40" w:line="252" w:lineRule="auto"/>
              <w:jc w:val="center"/>
            </w:pPr>
            <w:r/>
            <w:r>
              <w:rPr>
                <w:rFonts w:ascii="Calibri" w:hAnsi="Calibri" w:eastAsia="Microsoft YaHei"/>
                <w:color w:val="222222"/>
                <w:sz w:val="20"/>
              </w:rPr>
              <w:t>47 类（10 个数字 + 37 个大小写字母）</w:t>
            </w:r>
          </w:p>
        </w:tc>
        <w:tc>
          <w:tcPr>
            <w:tcW w:type="dxa" w:w="2880"/>
            <w:vAlign w:val="center"/>
            <w:tcMar>
              <w:top w:w="60" w:type="dxa"/>
              <w:bottom w:w="60" w:type="dxa"/>
              <w:left w:w="100" w:type="dxa"/>
              <w:right w:w="100" w:type="dxa"/>
            </w:tcMar>
          </w:tcPr>
          <w:p>
            <w:pPr>
              <w:keepNext/>
              <w:spacing w:before="40" w:after="40" w:line="252" w:lineRule="auto"/>
              <w:jc w:val="center"/>
            </w:pPr>
            <w:r/>
            <w:r>
              <w:rPr>
                <w:rFonts w:ascii="Calibri" w:hAnsi="Calibri" w:eastAsia="Microsoft YaHei"/>
                <w:color w:val="222222"/>
                <w:sz w:val="20"/>
              </w:rPr>
              <w:t>分类难度大幅提升，随机瞎猜准确率仅 2.1%</w:t>
            </w:r>
          </w:p>
        </w:tc>
      </w:tr>
      <w:tr>
        <w:trPr>
          <w:cantSplit/>
        </w:trPr>
        <w:tc>
          <w:tcPr>
            <w:tcW w:type="dxa" w:w="1728"/>
            <w:vAlign w:val="center"/>
            <w:shd w:fill="F2F5F8"/>
            <w:tcMar>
              <w:top w:w="60" w:type="dxa"/>
              <w:bottom w:w="60" w:type="dxa"/>
              <w:left w:w="100" w:type="dxa"/>
              <w:right w:w="100" w:type="dxa"/>
            </w:tcMar>
          </w:tcPr>
          <w:p>
            <w:pPr>
              <w:keepNext/>
              <w:spacing w:before="40" w:after="40" w:line="252" w:lineRule="auto"/>
              <w:jc w:val="left"/>
            </w:pPr>
            <w:r/>
            <w:r>
              <w:rPr>
                <w:rFonts w:ascii="Calibri" w:hAnsi="Calibri" w:eastAsia="Microsoft YaHei"/>
                <w:b/>
                <w:color w:val="222222"/>
                <w:sz w:val="20"/>
              </w:rPr>
              <w:t>总样本规模</w:t>
            </w:r>
          </w:p>
        </w:tc>
        <w:tc>
          <w:tcPr>
            <w:tcW w:type="dxa" w:w="2160"/>
            <w:vAlign w:val="center"/>
            <w:shd w:fill="F2F5F8"/>
            <w:tcMar>
              <w:top w:w="60" w:type="dxa"/>
              <w:bottom w:w="60" w:type="dxa"/>
              <w:left w:w="100" w:type="dxa"/>
              <w:right w:w="100" w:type="dxa"/>
            </w:tcMar>
          </w:tcPr>
          <w:p>
            <w:pPr>
              <w:keepNext/>
              <w:spacing w:before="40" w:after="40" w:line="252" w:lineRule="auto"/>
              <w:jc w:val="center"/>
            </w:pPr>
            <w:r/>
            <w:r>
              <w:rPr>
                <w:rFonts w:ascii="Calibri" w:hAnsi="Calibri" w:eastAsia="Microsoft YaHei"/>
                <w:color w:val="222222"/>
                <w:sz w:val="20"/>
              </w:rPr>
              <w:t>70,000 张（训练 6万 / 测试 1万）</w:t>
            </w:r>
          </w:p>
        </w:tc>
        <w:tc>
          <w:tcPr>
            <w:tcW w:type="dxa" w:w="2592"/>
            <w:vAlign w:val="center"/>
            <w:shd w:fill="F2F5F8"/>
            <w:tcMar>
              <w:top w:w="60" w:type="dxa"/>
              <w:bottom w:w="60" w:type="dxa"/>
              <w:left w:w="100" w:type="dxa"/>
              <w:right w:w="100" w:type="dxa"/>
            </w:tcMar>
          </w:tcPr>
          <w:p>
            <w:pPr>
              <w:keepNext/>
              <w:spacing w:before="40" w:after="40" w:line="252" w:lineRule="auto"/>
              <w:jc w:val="center"/>
            </w:pPr>
            <w:r/>
            <w:r>
              <w:rPr>
                <w:rFonts w:ascii="Calibri" w:hAnsi="Calibri" w:eastAsia="Microsoft YaHei"/>
                <w:color w:val="222222"/>
                <w:sz w:val="20"/>
              </w:rPr>
              <w:t>131,600 张（训练 11.28万 / 测试 1.88万）</w:t>
            </w:r>
          </w:p>
        </w:tc>
        <w:tc>
          <w:tcPr>
            <w:tcW w:type="dxa" w:w="2880"/>
            <w:vAlign w:val="center"/>
            <w:shd w:fill="F2F5F8"/>
            <w:tcMar>
              <w:top w:w="60" w:type="dxa"/>
              <w:bottom w:w="60" w:type="dxa"/>
              <w:left w:w="100" w:type="dxa"/>
              <w:right w:w="100" w:type="dxa"/>
            </w:tcMar>
          </w:tcPr>
          <w:p>
            <w:pPr>
              <w:keepNext/>
              <w:spacing w:before="40" w:after="40" w:line="252" w:lineRule="auto"/>
              <w:jc w:val="center"/>
            </w:pPr>
            <w:r/>
            <w:r>
              <w:rPr>
                <w:rFonts w:ascii="Calibri" w:hAnsi="Calibri" w:eastAsia="Microsoft YaHei"/>
                <w:color w:val="222222"/>
                <w:sz w:val="20"/>
              </w:rPr>
              <w:t>每个客户端样本更丰富，贴近真实联邦任务</w:t>
            </w:r>
          </w:p>
        </w:tc>
      </w:tr>
      <w:tr>
        <w:trPr>
          <w:cantSplit/>
        </w:trPr>
        <w:tc>
          <w:tcPr>
            <w:tcW w:type="dxa" w:w="1728"/>
            <w:vAlign w:val="center"/>
            <w:tcMar>
              <w:top w:w="60" w:type="dxa"/>
              <w:bottom w:w="60" w:type="dxa"/>
              <w:left w:w="100" w:type="dxa"/>
              <w:right w:w="100" w:type="dxa"/>
            </w:tcMar>
          </w:tcPr>
          <w:p>
            <w:pPr>
              <w:keepNext/>
              <w:spacing w:before="40" w:after="40" w:line="252" w:lineRule="auto"/>
              <w:jc w:val="left"/>
            </w:pPr>
            <w:r/>
            <w:r>
              <w:rPr>
                <w:rFonts w:ascii="Calibri" w:hAnsi="Calibri" w:eastAsia="Microsoft YaHei"/>
                <w:b/>
                <w:color w:val="222222"/>
                <w:sz w:val="20"/>
              </w:rPr>
              <w:t>图像尺寸</w:t>
            </w:r>
          </w:p>
        </w:tc>
        <w:tc>
          <w:tcPr>
            <w:tcW w:type="dxa" w:w="2160"/>
            <w:vAlign w:val="center"/>
            <w:tcMar>
              <w:top w:w="60" w:type="dxa"/>
              <w:bottom w:w="60" w:type="dxa"/>
              <w:left w:w="100" w:type="dxa"/>
              <w:right w:w="100" w:type="dxa"/>
            </w:tcMar>
          </w:tcPr>
          <w:p>
            <w:pPr>
              <w:keepNext/>
              <w:spacing w:before="40" w:after="40" w:line="252" w:lineRule="auto"/>
              <w:jc w:val="center"/>
            </w:pPr>
            <w:r/>
            <w:r>
              <w:rPr>
                <w:rFonts w:ascii="Calibri" w:hAnsi="Calibri" w:eastAsia="Microsoft YaHei"/>
                <w:color w:val="222222"/>
                <w:sz w:val="20"/>
              </w:rPr>
              <w:t>28 × 28 灰度图（单通道）</w:t>
            </w:r>
          </w:p>
        </w:tc>
        <w:tc>
          <w:tcPr>
            <w:tcW w:type="dxa" w:w="2592"/>
            <w:vAlign w:val="center"/>
            <w:tcMar>
              <w:top w:w="60" w:type="dxa"/>
              <w:bottom w:w="60" w:type="dxa"/>
              <w:left w:w="100" w:type="dxa"/>
              <w:right w:w="100" w:type="dxa"/>
            </w:tcMar>
          </w:tcPr>
          <w:p>
            <w:pPr>
              <w:keepNext/>
              <w:spacing w:before="40" w:after="40" w:line="252" w:lineRule="auto"/>
              <w:jc w:val="center"/>
            </w:pPr>
            <w:r/>
            <w:r>
              <w:rPr>
                <w:rFonts w:ascii="Calibri" w:hAnsi="Calibri" w:eastAsia="Microsoft YaHei"/>
                <w:color w:val="222222"/>
                <w:sz w:val="20"/>
              </w:rPr>
              <w:t>28 × 28 灰度图（单通道）</w:t>
            </w:r>
          </w:p>
        </w:tc>
        <w:tc>
          <w:tcPr>
            <w:tcW w:type="dxa" w:w="2880"/>
            <w:vAlign w:val="center"/>
            <w:tcMar>
              <w:top w:w="60" w:type="dxa"/>
              <w:bottom w:w="60" w:type="dxa"/>
              <w:left w:w="100" w:type="dxa"/>
              <w:right w:w="100" w:type="dxa"/>
            </w:tcMar>
          </w:tcPr>
          <w:p>
            <w:pPr>
              <w:keepNext/>
              <w:spacing w:before="40" w:after="40" w:line="252" w:lineRule="auto"/>
              <w:jc w:val="center"/>
            </w:pPr>
            <w:r/>
            <w:r>
              <w:rPr>
                <w:rFonts w:ascii="Calibri" w:hAnsi="Calibri" w:eastAsia="Microsoft YaHei"/>
                <w:color w:val="222222"/>
                <w:sz w:val="20"/>
              </w:rPr>
              <w:t>输入维度一致，便于直接对比模型结构</w:t>
            </w:r>
          </w:p>
        </w:tc>
      </w:tr>
      <w:tr>
        <w:trPr>
          <w:cantSplit/>
        </w:trPr>
        <w:tc>
          <w:tcPr>
            <w:tcW w:type="dxa" w:w="1728"/>
            <w:vAlign w:val="center"/>
            <w:shd w:fill="F2F5F8"/>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字形混淆难度</w:t>
            </w:r>
          </w:p>
        </w:tc>
        <w:tc>
          <w:tcPr>
            <w:tcW w:type="dxa" w:w="2160"/>
            <w:vAlign w:val="center"/>
            <w:shd w:fill="F2F5F8"/>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低（0~9 十个数字形状差异明显）</w:t>
            </w:r>
          </w:p>
        </w:tc>
        <w:tc>
          <w:tcPr>
            <w:tcW w:type="dxa" w:w="2592"/>
            <w:vAlign w:val="center"/>
            <w:shd w:fill="F2F5F8"/>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高（含 0与O、1与l/I、5与S、c与C 等极易混淆字符）</w:t>
            </w:r>
          </w:p>
        </w:tc>
        <w:tc>
          <w:tcPr>
            <w:tcW w:type="dxa" w:w="2880"/>
            <w:vAlign w:val="center"/>
            <w:shd w:fill="F2F5F8"/>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对梯度更新的精细度要求高，粗糙量化会立刻掉点</w:t>
            </w:r>
          </w:p>
        </w:tc>
      </w:tr>
    </w:tbl>
    <w:p>
      <w:pPr>
        <w:spacing w:before="0" w:after="80"/>
      </w:pPr>
    </w:p>
    <w:p>
      <w:pPr>
        <w:keepNext/>
        <w:spacing w:before="200" w:after="80"/>
      </w:pPr>
      <w:r>
        <w:rPr>
          <w:rFonts w:ascii="Calibri" w:hAnsi="Calibri" w:eastAsia="Microsoft YaHei"/>
          <w:b/>
          <w:color w:val="2B5B84"/>
          <w:sz w:val="25"/>
        </w:rPr>
        <w:t>1.4 模型结构升级：从 MLP 换为双层 CNN 的具体做法与参数量明细</w:t>
      </w:r>
    </w:p>
    <w:p>
      <w:pPr>
        <w:spacing w:before="0" w:after="120" w:line="276" w:lineRule="auto"/>
      </w:pPr>
      <w:r>
        <w:rPr>
          <w:rFonts w:ascii="Calibri" w:hAnsi="Calibri" w:eastAsia="Microsoft YaHei"/>
          <w:color w:val="222222"/>
          <w:sz w:val="22"/>
        </w:rPr>
        <w:t>1. 为什么要把 MLP 换成 CNN？</w:t>
      </w:r>
    </w:p>
    <w:p>
      <w:pPr>
        <w:pStyle w:val="ListBullet"/>
        <w:spacing w:before="20" w:after="60" w:line="276" w:lineRule="auto"/>
        <w:ind w:left="360"/>
      </w:pPr>
      <w:r>
        <w:rPr>
          <w:rFonts w:ascii="Calibri" w:hAnsi="Calibri" w:eastAsia="Microsoft YaHei"/>
          <w:b/>
          <w:color w:val="222222"/>
          <w:sz w:val="22"/>
        </w:rPr>
        <w:t>原 MLP（全连接网络）的局限：</w:t>
      </w:r>
      <w:r>
        <w:rPr>
          <w:rFonts w:ascii="Calibri" w:hAnsi="Calibri" w:eastAsia="Microsoft YaHei"/>
          <w:color w:val="222222"/>
          <w:sz w:val="22"/>
        </w:rPr>
        <w:t>MLP 在输入的第一步，就粗暴地把 28 × 28 的二维图片剪开拉平成一条长度为 784 的一维长向量。这样做彻底破坏了图片里笔画的“上下左右”相邻关系。面对 47 类复杂字母，只要手写字符稍微偏左一点或歪一点，MLP 就认不出来了，模型自身能力成为了瓶颈。</w:t>
      </w:r>
    </w:p>
    <w:p>
      <w:pPr>
        <w:pStyle w:val="ListBullet"/>
        <w:spacing w:before="20" w:after="160" w:line="276" w:lineRule="auto"/>
        <w:ind w:left="360"/>
      </w:pPr>
      <w:r>
        <w:rPr>
          <w:rFonts w:ascii="Calibri" w:hAnsi="Calibri" w:eastAsia="Microsoft YaHei"/>
          <w:b/>
          <w:color w:val="222222"/>
          <w:sz w:val="22"/>
        </w:rPr>
        <w:t>新 CNN（卷积神经网络）的优势：</w:t>
      </w:r>
      <w:r>
        <w:rPr>
          <w:rFonts w:ascii="Calibri" w:hAnsi="Calibri" w:eastAsia="Microsoft YaHei"/>
          <w:color w:val="222222"/>
          <w:sz w:val="22"/>
        </w:rPr>
        <w:t>CNN 保持 28 × 28 的二维图像结构不变，用 3 × 3 的小窗口（卷积核）在图上滑动，专门提取横、竖、弯钩、交叉等局部笔画特征，再配合最大池化层（MaxPool）容忍字形的位置偏移，因此非常适合 47 类手写字符识别。</w:t>
      </w:r>
    </w:p>
    <w:p>
      <w:pPr>
        <w:spacing w:before="0" w:after="120" w:line="276" w:lineRule="auto"/>
      </w:pPr>
      <w:r>
        <w:rPr>
          <w:rFonts w:ascii="Calibri" w:hAnsi="Calibri" w:eastAsia="Microsoft YaHei"/>
          <w:color w:val="222222"/>
          <w:sz w:val="22"/>
        </w:rPr>
        <w:t>2. 双层 CNN（EMNIST_CNN）的具体网络结构与参数量计算：</w:t>
      </w:r>
    </w:p>
    <w:p>
      <w:pPr>
        <w:spacing w:before="0" w:after="120" w:line="276" w:lineRule="auto"/>
      </w:pPr>
      <w:r>
        <w:rPr>
          <w:rFonts w:ascii="Calibri" w:hAnsi="Calibri" w:eastAsia="Microsoft YaHei"/>
          <w:color w:val="222222"/>
          <w:sz w:val="22"/>
        </w:rPr>
        <w:t>本周实现的双层 CNN 由“2 个卷积池化块 + 2 个全连接层”组成，总参数量为 d = 108,271（约 10.8 万参数，约为原 MLP 参数量 50,890 的 2.13 倍）。逐层做法与参数明细如下表所示：</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D0D7DE"/>
          <w:insideV w:val="single" w:sz="4" w:space="0" w:color="D0D7DE"/>
          <w:left w:val="none"/>
          <w:right w:val="none"/>
        </w:tblBorders>
      </w:tblPr>
      <w:tblGrid>
        <w:gridCol w:w="1872"/>
        <w:gridCol w:w="1872"/>
        <w:gridCol w:w="1872"/>
        <w:gridCol w:w="1872"/>
        <w:gridCol w:w="1872"/>
      </w:tblGrid>
      <w:tr>
        <w:trPr>
          <w:tblHeader/>
          <w:cantSplit/>
        </w:trPr>
        <w:tc>
          <w:tcPr>
            <w:tcW w:type="dxa" w:w="1800"/>
            <w:vAlign w:val="center"/>
            <w:shd w:fill="1B365D"/>
            <w:tcMar>
              <w:top w:w="80" w:type="dxa"/>
              <w:bottom w:w="80" w:type="dxa"/>
              <w:left w:w="100" w:type="dxa"/>
              <w:right w:w="100" w:type="dxa"/>
            </w:tcMar>
          </w:tcPr>
          <w:p>
            <w:pPr>
              <w:keepNext/>
              <w:spacing w:before="40" w:after="40"/>
              <w:jc w:val="center"/>
            </w:pPr>
            <w:r/>
            <w:r>
              <w:rPr>
                <w:rFonts w:ascii="Calibri" w:hAnsi="Calibri" w:eastAsia="Microsoft YaHei"/>
                <w:b/>
                <w:color w:val="FFFFFF"/>
                <w:sz w:val="20"/>
              </w:rPr>
              <w:t>网络层名称</w:t>
            </w:r>
          </w:p>
        </w:tc>
        <w:tc>
          <w:tcPr>
            <w:tcW w:type="dxa" w:w="2808"/>
            <w:vAlign w:val="center"/>
            <w:shd w:fill="1B365D"/>
            <w:tcMar>
              <w:top w:w="80" w:type="dxa"/>
              <w:bottom w:w="80" w:type="dxa"/>
              <w:left w:w="100" w:type="dxa"/>
              <w:right w:w="100" w:type="dxa"/>
            </w:tcMar>
          </w:tcPr>
          <w:p>
            <w:pPr>
              <w:keepNext/>
              <w:spacing w:before="40" w:after="40"/>
              <w:jc w:val="center"/>
            </w:pPr>
            <w:r/>
            <w:r>
              <w:rPr>
                <w:rFonts w:ascii="Calibri" w:hAnsi="Calibri" w:eastAsia="Microsoft YaHei"/>
                <w:b/>
                <w:color w:val="FFFFFF"/>
                <w:sz w:val="20"/>
              </w:rPr>
              <w:t>具体实现操作（PyTorch 结构）</w:t>
            </w:r>
          </w:p>
        </w:tc>
        <w:tc>
          <w:tcPr>
            <w:tcW w:type="dxa" w:w="1656"/>
            <w:vAlign w:val="center"/>
            <w:shd w:fill="1B365D"/>
            <w:tcMar>
              <w:top w:w="80" w:type="dxa"/>
              <w:bottom w:w="80" w:type="dxa"/>
              <w:left w:w="100" w:type="dxa"/>
              <w:right w:w="100" w:type="dxa"/>
            </w:tcMar>
          </w:tcPr>
          <w:p>
            <w:pPr>
              <w:keepNext/>
              <w:spacing w:before="40" w:after="40"/>
              <w:jc w:val="center"/>
            </w:pPr>
            <w:r/>
            <w:r>
              <w:rPr>
                <w:rFonts w:ascii="Calibri" w:hAnsi="Calibri" w:eastAsia="Microsoft YaHei"/>
                <w:b/>
                <w:color w:val="FFFFFF"/>
                <w:sz w:val="20"/>
              </w:rPr>
              <w:t>输出特征尺寸</w:t>
            </w:r>
          </w:p>
        </w:tc>
        <w:tc>
          <w:tcPr>
            <w:tcW w:type="dxa" w:w="1944"/>
            <w:vAlign w:val="center"/>
            <w:shd w:fill="1B365D"/>
            <w:tcMar>
              <w:top w:w="80" w:type="dxa"/>
              <w:bottom w:w="80" w:type="dxa"/>
              <w:left w:w="100" w:type="dxa"/>
              <w:right w:w="100" w:type="dxa"/>
            </w:tcMar>
          </w:tcPr>
          <w:p>
            <w:pPr>
              <w:keepNext/>
              <w:spacing w:before="40" w:after="40"/>
              <w:jc w:val="center"/>
            </w:pPr>
            <w:r/>
            <w:r>
              <w:rPr>
                <w:rFonts w:ascii="Calibri" w:hAnsi="Calibri" w:eastAsia="Microsoft YaHei"/>
                <w:b/>
                <w:color w:val="FFFFFF"/>
                <w:sz w:val="20"/>
              </w:rPr>
              <w:t>参数量计算公式（权重 + 偏置）</w:t>
            </w:r>
          </w:p>
        </w:tc>
        <w:tc>
          <w:tcPr>
            <w:tcW w:type="dxa" w:w="1152"/>
            <w:vAlign w:val="center"/>
            <w:shd w:fill="1B365D"/>
            <w:tcMar>
              <w:top w:w="80" w:type="dxa"/>
              <w:bottom w:w="80" w:type="dxa"/>
              <w:left w:w="100" w:type="dxa"/>
              <w:right w:w="100" w:type="dxa"/>
            </w:tcMar>
          </w:tcPr>
          <w:p>
            <w:pPr>
              <w:keepNext/>
              <w:spacing w:before="40" w:after="40"/>
              <w:jc w:val="center"/>
            </w:pPr>
            <w:r/>
            <w:r>
              <w:rPr>
                <w:rFonts w:ascii="Calibri" w:hAnsi="Calibri" w:eastAsia="Microsoft YaHei"/>
                <w:b/>
                <w:color w:val="FFFFFF"/>
                <w:sz w:val="20"/>
              </w:rPr>
              <w:t>参数数量</w:t>
            </w:r>
          </w:p>
        </w:tc>
      </w:tr>
      <w:tr>
        <w:trPr>
          <w:cantSplit/>
        </w:trPr>
        <w:tc>
          <w:tcPr>
            <w:tcW w:type="dxa" w:w="1800"/>
            <w:vAlign w:val="center"/>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输入层</w:t>
            </w:r>
          </w:p>
        </w:tc>
        <w:tc>
          <w:tcPr>
            <w:tcW w:type="dxa" w:w="2808"/>
            <w:vAlign w:val="center"/>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单通道灰度手写图像</w:t>
            </w:r>
          </w:p>
        </w:tc>
        <w:tc>
          <w:tcPr>
            <w:tcW w:type="dxa" w:w="1656"/>
            <w:vAlign w:val="center"/>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1 × 28 × 28</w:t>
            </w:r>
          </w:p>
        </w:tc>
        <w:tc>
          <w:tcPr>
            <w:tcW w:type="dxa" w:w="1944"/>
            <w:vAlign w:val="center"/>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w:t>
            </w:r>
          </w:p>
        </w:tc>
        <w:tc>
          <w:tcPr>
            <w:tcW w:type="dxa" w:w="1152"/>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0</w:t>
            </w:r>
          </w:p>
        </w:tc>
      </w:tr>
      <w:tr>
        <w:trPr>
          <w:cantSplit/>
        </w:trPr>
        <w:tc>
          <w:tcPr>
            <w:tcW w:type="dxa" w:w="1800"/>
            <w:vAlign w:val="center"/>
            <w:shd w:fill="F2F5F8"/>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第 1 卷积块 (Conv1)</w:t>
            </w:r>
          </w:p>
        </w:tc>
        <w:tc>
          <w:tcPr>
            <w:tcW w:type="dxa" w:w="2808"/>
            <w:vAlign w:val="center"/>
            <w:shd w:fill="F2F5F8"/>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Conv2d(1→16, 3×3, pad=1) + ReLU + MaxPool(2×2)</w:t>
            </w:r>
          </w:p>
        </w:tc>
        <w:tc>
          <w:tcPr>
            <w:tcW w:type="dxa" w:w="1656"/>
            <w:vAlign w:val="center"/>
            <w:shd w:fill="F2F5F8"/>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16 × 14 × 14</w:t>
            </w:r>
          </w:p>
        </w:tc>
        <w:tc>
          <w:tcPr>
            <w:tcW w:type="dxa" w:w="1944"/>
            <w:vAlign w:val="center"/>
            <w:shd w:fill="F2F5F8"/>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(16 × 1 × 3 × 3) + 16</w:t>
            </w:r>
          </w:p>
        </w:tc>
        <w:tc>
          <w:tcPr>
            <w:tcW w:type="dxa" w:w="1152"/>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160</w:t>
            </w:r>
          </w:p>
        </w:tc>
      </w:tr>
      <w:tr>
        <w:trPr>
          <w:cantSplit/>
        </w:trPr>
        <w:tc>
          <w:tcPr>
            <w:tcW w:type="dxa" w:w="1800"/>
            <w:vAlign w:val="center"/>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第 2 卷积块 (Conv2)</w:t>
            </w:r>
          </w:p>
        </w:tc>
        <w:tc>
          <w:tcPr>
            <w:tcW w:type="dxa" w:w="2808"/>
            <w:vAlign w:val="center"/>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Conv2d(16→32, 3×3, pad=1) + ReLU + MaxPool(2×2)</w:t>
            </w:r>
          </w:p>
        </w:tc>
        <w:tc>
          <w:tcPr>
            <w:tcW w:type="dxa" w:w="1656"/>
            <w:vAlign w:val="center"/>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32 × 7 × 7 (展平为 1568)</w:t>
            </w:r>
          </w:p>
        </w:tc>
        <w:tc>
          <w:tcPr>
            <w:tcW w:type="dxa" w:w="1944"/>
            <w:vAlign w:val="center"/>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(32 × 16 × 3 × 3) + 32</w:t>
            </w:r>
          </w:p>
        </w:tc>
        <w:tc>
          <w:tcPr>
            <w:tcW w:type="dxa" w:w="1152"/>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4,640</w:t>
            </w:r>
          </w:p>
        </w:tc>
      </w:tr>
      <w:tr>
        <w:trPr>
          <w:cantSplit/>
        </w:trPr>
        <w:tc>
          <w:tcPr>
            <w:tcW w:type="dxa" w:w="1800"/>
            <w:vAlign w:val="center"/>
            <w:shd w:fill="F2F5F8"/>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全连接隐藏层 (FC1)</w:t>
            </w:r>
          </w:p>
        </w:tc>
        <w:tc>
          <w:tcPr>
            <w:tcW w:type="dxa" w:w="2808"/>
            <w:vAlign w:val="center"/>
            <w:shd w:fill="F2F5F8"/>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Linear(1568 → 64) + ReLU</w:t>
            </w:r>
          </w:p>
        </w:tc>
        <w:tc>
          <w:tcPr>
            <w:tcW w:type="dxa" w:w="1656"/>
            <w:vAlign w:val="center"/>
            <w:shd w:fill="F2F5F8"/>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64</w:t>
            </w:r>
          </w:p>
        </w:tc>
        <w:tc>
          <w:tcPr>
            <w:tcW w:type="dxa" w:w="1944"/>
            <w:vAlign w:val="center"/>
            <w:shd w:fill="F2F5F8"/>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(1568 × 64) + 64</w:t>
            </w:r>
          </w:p>
        </w:tc>
        <w:tc>
          <w:tcPr>
            <w:tcW w:type="dxa" w:w="1152"/>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100,416</w:t>
            </w:r>
          </w:p>
        </w:tc>
      </w:tr>
      <w:tr>
        <w:trPr>
          <w:cantSplit/>
        </w:trPr>
        <w:tc>
          <w:tcPr>
            <w:tcW w:type="dxa" w:w="1800"/>
            <w:vAlign w:val="center"/>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分类输出层 (FC2)</w:t>
            </w:r>
          </w:p>
        </w:tc>
        <w:tc>
          <w:tcPr>
            <w:tcW w:type="dxa" w:w="2808"/>
            <w:vAlign w:val="center"/>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Linear(64 → 47 类输出)</w:t>
            </w:r>
          </w:p>
        </w:tc>
        <w:tc>
          <w:tcPr>
            <w:tcW w:type="dxa" w:w="1656"/>
            <w:vAlign w:val="center"/>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47</w:t>
            </w:r>
          </w:p>
        </w:tc>
        <w:tc>
          <w:tcPr>
            <w:tcW w:type="dxa" w:w="1944"/>
            <w:vAlign w:val="center"/>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(64 × 47) + 47</w:t>
            </w:r>
          </w:p>
        </w:tc>
        <w:tc>
          <w:tcPr>
            <w:tcW w:type="dxa" w:w="1152"/>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3,055</w:t>
            </w:r>
          </w:p>
        </w:tc>
      </w:tr>
      <w:tr>
        <w:trPr>
          <w:cantSplit/>
        </w:trPr>
        <w:tc>
          <w:tcPr>
            <w:tcW w:type="dxa" w:w="1800"/>
            <w:vAlign w:val="center"/>
            <w:shd w:fill="F2F5F8"/>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合计（EMNIST_CNN）</w:t>
            </w:r>
          </w:p>
        </w:tc>
        <w:tc>
          <w:tcPr>
            <w:tcW w:type="dxa" w:w="2808"/>
            <w:vAlign w:val="center"/>
            <w:shd w:fill="F2F5F8"/>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2 层卷积 + 2 层全连接</w:t>
            </w:r>
          </w:p>
        </w:tc>
        <w:tc>
          <w:tcPr>
            <w:tcW w:type="dxa" w:w="1656"/>
            <w:vAlign w:val="center"/>
            <w:shd w:fill="F2F5F8"/>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47 类概率得分</w:t>
            </w:r>
          </w:p>
        </w:tc>
        <w:tc>
          <w:tcPr>
            <w:tcW w:type="dxa" w:w="1944"/>
            <w:vAlign w:val="center"/>
            <w:shd w:fill="F2F5F8"/>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总维度 d = 160 + 4640 + 100416 + 3055</w:t>
            </w:r>
          </w:p>
        </w:tc>
        <w:tc>
          <w:tcPr>
            <w:tcW w:type="dxa" w:w="1152"/>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108,271</w:t>
            </w:r>
          </w:p>
        </w:tc>
      </w:tr>
      <w:tr>
        <w:trPr>
          <w:cantSplit/>
        </w:trPr>
        <w:tc>
          <w:tcPr>
            <w:tcW w:type="dxa" w:w="1800"/>
            <w:vAlign w:val="center"/>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对比：原 MNIST_MLP</w:t>
            </w:r>
          </w:p>
        </w:tc>
        <w:tc>
          <w:tcPr>
            <w:tcW w:type="dxa" w:w="2808"/>
            <w:vAlign w:val="center"/>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Flatten(784) → Linear(784→64) → Linear(64→10)</w:t>
            </w:r>
          </w:p>
        </w:tc>
        <w:tc>
          <w:tcPr>
            <w:tcW w:type="dxa" w:w="1656"/>
            <w:vAlign w:val="center"/>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10 类概率得分</w:t>
            </w:r>
          </w:p>
        </w:tc>
        <w:tc>
          <w:tcPr>
            <w:tcW w:type="dxa" w:w="1944"/>
            <w:vAlign w:val="center"/>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总维度 d = (784×64+64) + (64×10+10)</w:t>
            </w:r>
          </w:p>
        </w:tc>
        <w:tc>
          <w:tcPr>
            <w:tcW w:type="dxa" w:w="1152"/>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50,890</w:t>
            </w:r>
          </w:p>
        </w:tc>
      </w:tr>
    </w:tbl>
    <w:p>
      <w:pPr>
        <w:spacing w:before="0" w:after="80"/>
      </w:pPr>
    </w:p>
    <w:p>
      <w:pPr>
        <w:spacing w:before="0" w:after="120" w:line="276" w:lineRule="auto"/>
      </w:pPr>
      <w:r>
        <w:rPr>
          <w:rFonts w:ascii="Calibri" w:hAnsi="Calibri" w:eastAsia="Microsoft YaHei"/>
          <w:color w:val="222222"/>
          <w:sz w:val="22"/>
        </w:rPr>
        <w:t>注：由于 Hadamard 变换要求向量长度必须是 2 的整数次幂，在新的 EMNIST_CNN（d = 108,271）上，Hadamard 必须补零到 2^17 = 131,072 维才能计算，因此 Hadamard 的实际固定膨胀率为 λ = 131,072 / 108,271 ≈ 1.21（即 1-bit、2-bit、3-bit 对应的实际每维度比特数 BPD 分别为 1.21、2.42、3.63）。而我们的 Fourier-Kashin 基于 FFT 实现，不需要补零到 2 的幂次，可以自由设定 λ = 1.15 等更省通信量的冗余度。</w:t>
      </w:r>
    </w:p>
    <w:p>
      <w:pPr>
        <w:keepNext/>
        <w:spacing w:before="280" w:after="120"/>
      </w:pPr>
      <w:r>
        <w:rPr>
          <w:rFonts w:ascii="Calibri" w:hAnsi="Calibri" w:eastAsia="Microsoft YaHei"/>
          <w:b/>
          <w:color w:val="1B365D"/>
          <w:sz w:val="30"/>
        </w:rPr>
        <w:t>二、 量化代码的检查与修正（通俗说明）</w:t>
      </w:r>
    </w:p>
    <w:p>
      <w:pPr>
        <w:spacing w:before="0" w:after="120" w:line="276" w:lineRule="auto"/>
      </w:pPr>
      <w:r>
        <w:rPr>
          <w:rFonts w:ascii="Calibri" w:hAnsi="Calibri" w:eastAsia="Microsoft YaHei"/>
          <w:color w:val="222222"/>
          <w:sz w:val="22"/>
        </w:rPr>
        <w:t>上周汇报的第 1 页提出了两个核心疑问：一是“为什么在准确率随每维度比特数增长的图中，多给比特准确率却没有明显提升？”；二是“每次传输的缩放范围是怎么定的？”。本周通过排查代码，找到了原因并完成了修正：</w:t>
      </w:r>
    </w:p>
    <w:p>
      <w:pPr>
        <w:keepNext/>
        <w:spacing w:before="200" w:after="80"/>
      </w:pPr>
      <w:r>
        <w:rPr>
          <w:rFonts w:ascii="Calibri" w:hAnsi="Calibri" w:eastAsia="Microsoft YaHei"/>
          <w:b/>
          <w:color w:val="2B5B84"/>
          <w:sz w:val="25"/>
        </w:rPr>
        <w:t>2.1 上周的问题：多比特量化时的“尺子量程定太短了”</w:t>
      </w:r>
    </w:p>
    <w:p>
      <w:pPr>
        <w:spacing w:before="0" w:after="120" w:line="276" w:lineRule="auto"/>
      </w:pPr>
      <w:r>
        <w:rPr>
          <w:rFonts w:ascii="Calibri" w:hAnsi="Calibri" w:eastAsia="Microsoft YaHei"/>
          <w:color w:val="222222"/>
          <w:sz w:val="22"/>
        </w:rPr>
        <w:t>可以把多比特量化（比如 2-bit 分 4 个格子、3-bit 分 8 个格子）想象成“拿一把有刻度的尺子去量一串数字”：</w:t>
      </w:r>
    </w:p>
    <w:p>
      <w:pPr>
        <w:pStyle w:val="ListBullet"/>
        <w:spacing w:before="20" w:after="60" w:line="276" w:lineRule="auto"/>
        <w:ind w:left="360"/>
      </w:pPr>
      <w:r>
        <w:rPr>
          <w:rFonts w:ascii="Calibri" w:hAnsi="Calibri" w:eastAsia="Microsoft YaHei"/>
          <w:b/>
          <w:color w:val="222222"/>
          <w:sz w:val="22"/>
        </w:rPr>
        <w:t>正常做法：</w:t>
      </w:r>
      <w:r>
        <w:rPr>
          <w:rFonts w:ascii="Calibri" w:hAnsi="Calibri" w:eastAsia="Microsoft YaHei"/>
          <w:color w:val="222222"/>
          <w:sz w:val="22"/>
        </w:rPr>
        <w:t>应该先看这串数字里最大的值是多少（比如最大是 10），把尺子的两端定在 [-10, +10]，然后再把这个范围平分成 4 个或 8 个格子，让所有数字都落在格子里。</w:t>
      </w:r>
    </w:p>
    <w:p>
      <w:pPr>
        <w:pStyle w:val="ListBullet"/>
        <w:spacing w:before="20" w:after="60" w:line="276" w:lineRule="auto"/>
        <w:ind w:left="360"/>
      </w:pPr>
      <w:r>
        <w:rPr>
          <w:rFonts w:ascii="Calibri" w:hAnsi="Calibri" w:eastAsia="Microsoft YaHei"/>
          <w:b/>
          <w:color w:val="222222"/>
          <w:sz w:val="22"/>
        </w:rPr>
        <w:t>上周代码的疏忽：</w:t>
      </w:r>
      <w:r>
        <w:rPr>
          <w:rFonts w:ascii="Calibri" w:hAnsi="Calibri" w:eastAsia="Microsoft YaHei"/>
          <w:color w:val="222222"/>
          <w:sz w:val="22"/>
        </w:rPr>
        <w:t>上周在写有缩放（doscale）代码时，1-bit 用的是整串数字的“平均大小”（比如平均是 2），结果在算 2-bit 和 3-bit 时，代码直接沿用了这个“平均大小 2”作为尺子的最大边界，把所有超出 [-2, +2] 的数字全部一刀切平了（相当于大于 2 的数全被当成了 2）。</w:t>
      </w:r>
    </w:p>
    <w:p>
      <w:pPr>
        <w:pStyle w:val="ListBullet"/>
        <w:spacing w:before="20" w:after="160" w:line="276" w:lineRule="auto"/>
        <w:ind w:left="360"/>
      </w:pPr>
      <w:r>
        <w:rPr>
          <w:rFonts w:ascii="Calibri" w:hAnsi="Calibri" w:eastAsia="Microsoft YaHei"/>
          <w:b/>
          <w:color w:val="222222"/>
          <w:sz w:val="22"/>
        </w:rPr>
        <w:t>导致的后果：</w:t>
      </w:r>
      <w:r>
        <w:rPr>
          <w:rFonts w:ascii="Calibri" w:hAnsi="Calibri" w:eastAsia="Microsoft YaHei"/>
          <w:color w:val="222222"/>
          <w:sz w:val="22"/>
        </w:rPr>
        <w:t>一串梯度数据里，比平均值大的数字占了将近一半！这一半最重要的大数值全被切平丢失了，所以哪怕我们把尺子从 1-bit 加密到 2-bit、3-bit，被切掉的那一半信息依然找不回来，导致上周的图里看不出增加比特带来的收益。</w:t>
      </w:r>
    </w:p>
    <w:p>
      <w:pPr>
        <w:keepNext/>
        <w:spacing w:before="200" w:after="80"/>
      </w:pPr>
      <w:r>
        <w:rPr>
          <w:rFonts w:ascii="Calibri" w:hAnsi="Calibri" w:eastAsia="Microsoft YaHei"/>
          <w:b/>
          <w:color w:val="2B5B84"/>
          <w:sz w:val="25"/>
        </w:rPr>
        <w:t>2.2 本周的修正：按真实最大值定边界，恢复“比特越多越准”的规律</w:t>
      </w:r>
    </w:p>
    <w:p>
      <w:pPr>
        <w:pStyle w:val="ListBullet"/>
        <w:spacing w:before="20" w:after="60" w:line="276" w:lineRule="auto"/>
        <w:ind w:left="360"/>
      </w:pPr>
      <w:r>
        <w:rPr>
          <w:rFonts w:ascii="Calibri" w:hAnsi="Calibri" w:eastAsia="Microsoft YaHei"/>
          <w:b/>
          <w:color w:val="222222"/>
          <w:sz w:val="22"/>
        </w:rPr>
        <w:t>1-bit 模式：</w:t>
      </w:r>
      <w:r>
        <w:rPr>
          <w:rFonts w:ascii="Calibri" w:hAnsi="Calibri" w:eastAsia="Microsoft YaHei"/>
          <w:color w:val="222222"/>
          <w:sz w:val="22"/>
        </w:rPr>
        <w:t>因为 1-bit 只传正负号（只有两个值），继续使用这串数据的“平均绝对值”作为恢复大小，保证整体步长最稳。</w:t>
      </w:r>
    </w:p>
    <w:p>
      <w:pPr>
        <w:pStyle w:val="ListBullet"/>
        <w:spacing w:before="20" w:after="60" w:line="276" w:lineRule="auto"/>
        <w:ind w:left="360"/>
      </w:pPr>
      <w:r>
        <w:rPr>
          <w:rFonts w:ascii="Calibri" w:hAnsi="Calibri" w:eastAsia="Microsoft YaHei"/>
          <w:b/>
          <w:color w:val="222222"/>
          <w:sz w:val="22"/>
        </w:rPr>
        <w:t>2-bit 与 3-bit 模式：</w:t>
      </w:r>
      <w:r>
        <w:rPr>
          <w:rFonts w:ascii="Calibri" w:hAnsi="Calibri" w:eastAsia="Microsoft YaHei"/>
          <w:color w:val="222222"/>
          <w:sz w:val="22"/>
        </w:rPr>
        <w:t>本周将多比特量化的尺子边界改成了这串数据的“真实最大值”。这样一来，所有数据都能完好地装进尺子范围内，不再有任何数据被一刀切平；比特数越多，分出来的格子就越细，还原出来的梯度就越精确。</w:t>
      </w:r>
    </w:p>
    <w:p>
      <w:pPr>
        <w:pStyle w:val="ListBullet"/>
        <w:spacing w:before="20" w:after="160" w:line="276" w:lineRule="auto"/>
        <w:ind w:left="360"/>
      </w:pPr>
      <w:r>
        <w:rPr>
          <w:rFonts w:ascii="Calibri" w:hAnsi="Calibri" w:eastAsia="Microsoft YaHei"/>
          <w:b/>
          <w:color w:val="222222"/>
          <w:sz w:val="22"/>
        </w:rPr>
        <w:t>无缩放（noscale）模式的改进：</w:t>
      </w:r>
      <w:r>
        <w:rPr>
          <w:rFonts w:ascii="Calibri" w:hAnsi="Calibri" w:eastAsia="Microsoft YaHei"/>
          <w:color w:val="222222"/>
          <w:sz w:val="22"/>
        </w:rPr>
        <w:t>在不传每轮最大值、只用固定尺子（静态阈值）时，考虑到向量展开得越长（D 越大），每个位置分摊到的数值就会越小（按 1/√D 缩小），本周在代码中加入了按展开长度自动调整固定尺子大小的机制，避免不同变换共把同一把尺子定得太大或太小。</w:t>
      </w:r>
    </w:p>
    <w:p>
      <w:pPr>
        <w:keepNext/>
        <w:spacing w:before="280" w:after="120"/>
      </w:pPr>
      <w:r>
        <w:rPr>
          <w:rFonts w:ascii="Calibri" w:hAnsi="Calibri" w:eastAsia="Microsoft YaHei"/>
          <w:b/>
          <w:color w:val="1B365D"/>
          <w:sz w:val="30"/>
        </w:rPr>
        <w:t>三、 EMNIST + CNN 实验结果与下一步计划</w:t>
      </w:r>
    </w:p>
    <w:p>
      <w:pPr>
        <w:keepNext/>
        <w:spacing w:before="200" w:after="80"/>
      </w:pPr>
      <w:r>
        <w:rPr>
          <w:rFonts w:ascii="Calibri" w:hAnsi="Calibri" w:eastAsia="Microsoft YaHei"/>
          <w:b/>
          <w:color w:val="2B5B84"/>
          <w:sz w:val="25"/>
        </w:rPr>
        <w:t>3.1 Stage 2（doscale）：不同每维度比特数（BPD）下的 18 组完整结果</w:t>
      </w:r>
    </w:p>
    <w:p>
      <w:pPr>
        <w:spacing w:before="0" w:after="120" w:line="276" w:lineRule="auto"/>
      </w:pPr>
      <w:r>
        <w:rPr>
          <w:rFonts w:ascii="Calibri" w:hAnsi="Calibri" w:eastAsia="Microsoft YaHei"/>
          <w:color w:val="222222"/>
          <w:sz w:val="22"/>
        </w:rPr>
        <w:t>在完成上述基准升级与代码修正后，我们在 Non-IID EMNIST（47 分类，Dir(0.3)）+ 双层 CNN 上完成了 bits ∈ {1, 2, 3} 与冗余度 λ ∈ {1.15, 1.3, 1.6, 2.0} 的全网格 18 组实验（每组训练 100 轮，取最后 10 轮平均测试准确率）。完整数据如下表所示：</w:t>
      </w:r>
    </w:p>
    <w:tbl>
      <w:tblPr>
        <w:tblW w:type="auto" w:w="0"/>
        <w:jc w:val="center"/>
        <w:tblLook w:firstColumn="1" w:firstRow="1" w:lastColumn="0" w:lastRow="0" w:noHBand="0" w:noVBand="1" w:val="04A0"/>
        <w:tblBorders>
          <w:top w:val="single" w:sz="6" w:space="0" w:color="1B365D"/>
          <w:bottom w:val="single" w:sz="6" w:space="0" w:color="1B365D"/>
          <w:insideH w:val="single" w:sz="4" w:space="0" w:color="D0D7DE"/>
          <w:insideV w:val="single" w:sz="4" w:space="0" w:color="D0D7DE"/>
          <w:left w:val="none"/>
          <w:right w:val="none"/>
        </w:tblBorders>
      </w:tblPr>
      <w:tblGrid>
        <w:gridCol w:w="1560"/>
        <w:gridCol w:w="1560"/>
        <w:gridCol w:w="1560"/>
        <w:gridCol w:w="1560"/>
        <w:gridCol w:w="1560"/>
        <w:gridCol w:w="1560"/>
      </w:tblGrid>
      <w:tr>
        <w:trPr>
          <w:tblHeader/>
          <w:cantSplit/>
        </w:trPr>
        <w:tc>
          <w:tcPr>
            <w:tcW w:type="dxa" w:w="2592"/>
            <w:vAlign w:val="center"/>
            <w:shd w:fill="1B365D"/>
            <w:tcMar>
              <w:top w:w="80" w:type="dxa"/>
              <w:bottom w:w="80" w:type="dxa"/>
              <w:left w:w="100" w:type="dxa"/>
              <w:right w:w="100" w:type="dxa"/>
            </w:tcMar>
          </w:tcPr>
          <w:p>
            <w:pPr>
              <w:keepNext/>
              <w:spacing w:before="40" w:after="40"/>
              <w:jc w:val="center"/>
            </w:pPr>
            <w:r/>
            <w:r>
              <w:rPr>
                <w:rFonts w:ascii="Calibri" w:hAnsi="Calibri" w:eastAsia="Microsoft YaHei"/>
                <w:b/>
                <w:color w:val="FFFFFF"/>
                <w:sz w:val="20"/>
              </w:rPr>
              <w:t>实验配置名称</w:t>
            </w:r>
          </w:p>
        </w:tc>
        <w:tc>
          <w:tcPr>
            <w:tcW w:type="dxa" w:w="2016"/>
            <w:vAlign w:val="center"/>
            <w:shd w:fill="1B365D"/>
            <w:tcMar>
              <w:top w:w="80" w:type="dxa"/>
              <w:bottom w:w="80" w:type="dxa"/>
              <w:left w:w="100" w:type="dxa"/>
              <w:right w:w="100" w:type="dxa"/>
            </w:tcMar>
          </w:tcPr>
          <w:p>
            <w:pPr>
              <w:keepNext/>
              <w:spacing w:before="40" w:after="40"/>
              <w:jc w:val="center"/>
            </w:pPr>
            <w:r/>
            <w:r>
              <w:rPr>
                <w:rFonts w:ascii="Calibri" w:hAnsi="Calibri" w:eastAsia="Microsoft YaHei"/>
                <w:b/>
                <w:color w:val="FFFFFF"/>
                <w:sz w:val="20"/>
              </w:rPr>
              <w:t>变换方法</w:t>
            </w:r>
          </w:p>
        </w:tc>
        <w:tc>
          <w:tcPr>
            <w:tcW w:type="dxa" w:w="1152"/>
            <w:vAlign w:val="center"/>
            <w:shd w:fill="1B365D"/>
            <w:tcMar>
              <w:top w:w="80" w:type="dxa"/>
              <w:bottom w:w="80" w:type="dxa"/>
              <w:left w:w="100" w:type="dxa"/>
              <w:right w:w="100" w:type="dxa"/>
            </w:tcMar>
          </w:tcPr>
          <w:p>
            <w:pPr>
              <w:keepNext/>
              <w:spacing w:before="40" w:after="40"/>
              <w:jc w:val="center"/>
            </w:pPr>
            <w:r/>
            <w:r>
              <w:rPr>
                <w:rFonts w:ascii="Calibri" w:hAnsi="Calibri" w:eastAsia="Microsoft YaHei"/>
                <w:b/>
                <w:color w:val="FFFFFF"/>
                <w:sz w:val="20"/>
              </w:rPr>
              <w:t>量化位数 (bits)</w:t>
            </w:r>
          </w:p>
        </w:tc>
        <w:tc>
          <w:tcPr>
            <w:tcW w:type="dxa" w:w="1224"/>
            <w:vAlign w:val="center"/>
            <w:shd w:fill="1B365D"/>
            <w:tcMar>
              <w:top w:w="80" w:type="dxa"/>
              <w:bottom w:w="80" w:type="dxa"/>
              <w:left w:w="100" w:type="dxa"/>
              <w:right w:w="100" w:type="dxa"/>
            </w:tcMar>
          </w:tcPr>
          <w:p>
            <w:pPr>
              <w:keepNext/>
              <w:spacing w:before="40" w:after="40"/>
              <w:jc w:val="center"/>
            </w:pPr>
            <w:r/>
            <w:r>
              <w:rPr>
                <w:rFonts w:ascii="Calibri" w:hAnsi="Calibri" w:eastAsia="Microsoft YaHei"/>
                <w:b/>
                <w:color w:val="FFFFFF"/>
                <w:sz w:val="20"/>
              </w:rPr>
              <w:t>实际膨胀率 (λ=D/d)</w:t>
            </w:r>
          </w:p>
        </w:tc>
        <w:tc>
          <w:tcPr>
            <w:tcW w:type="dxa" w:w="1224"/>
            <w:vAlign w:val="center"/>
            <w:shd w:fill="1B365D"/>
            <w:tcMar>
              <w:top w:w="80" w:type="dxa"/>
              <w:bottom w:w="80" w:type="dxa"/>
              <w:left w:w="100" w:type="dxa"/>
              <w:right w:w="100" w:type="dxa"/>
            </w:tcMar>
          </w:tcPr>
          <w:p>
            <w:pPr>
              <w:keepNext/>
              <w:spacing w:before="40" w:after="40"/>
              <w:jc w:val="center"/>
            </w:pPr>
            <w:r/>
            <w:r>
              <w:rPr>
                <w:rFonts w:ascii="Calibri" w:hAnsi="Calibri" w:eastAsia="Microsoft YaHei"/>
                <w:b/>
                <w:color w:val="FFFFFF"/>
                <w:sz w:val="20"/>
              </w:rPr>
              <w:t>每维度比特数 (BPD)</w:t>
            </w:r>
          </w:p>
        </w:tc>
        <w:tc>
          <w:tcPr>
            <w:tcW w:type="dxa" w:w="1152"/>
            <w:vAlign w:val="center"/>
            <w:shd w:fill="1B365D"/>
            <w:tcMar>
              <w:top w:w="80" w:type="dxa"/>
              <w:bottom w:w="80" w:type="dxa"/>
              <w:left w:w="100" w:type="dxa"/>
              <w:right w:w="100" w:type="dxa"/>
            </w:tcMar>
          </w:tcPr>
          <w:p>
            <w:pPr>
              <w:keepNext/>
              <w:spacing w:before="40" w:after="40"/>
              <w:jc w:val="center"/>
            </w:pPr>
            <w:r/>
            <w:r>
              <w:rPr>
                <w:rFonts w:ascii="Calibri" w:hAnsi="Calibri" w:eastAsia="Microsoft YaHei"/>
                <w:b/>
                <w:color w:val="FFFFFF"/>
                <w:sz w:val="20"/>
              </w:rPr>
              <w:t>最后 10 轮平均准确率</w:t>
            </w:r>
          </w:p>
        </w:tc>
      </w:tr>
      <w:tr>
        <w:trPr>
          <w:cantSplit/>
        </w:trPr>
        <w:tc>
          <w:tcPr>
            <w:tcW w:type="dxa" w:w="2592"/>
            <w:vAlign w:val="center"/>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fourier_kashin_b1_lam1.15</w:t>
            </w:r>
          </w:p>
        </w:tc>
        <w:tc>
          <w:tcPr>
            <w:tcW w:type="dxa" w:w="2016"/>
            <w:vAlign w:val="center"/>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fourier_kashin</w:t>
            </w:r>
          </w:p>
        </w:tc>
        <w:tc>
          <w:tcPr>
            <w:tcW w:type="dxa" w:w="1152"/>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w:t>
            </w:r>
          </w:p>
        </w:tc>
        <w:tc>
          <w:tcPr>
            <w:tcW w:type="dxa" w:w="1224"/>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1.15</w:t>
            </w:r>
          </w:p>
        </w:tc>
        <w:tc>
          <w:tcPr>
            <w:tcW w:type="dxa" w:w="1224"/>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1.15</w:t>
            </w:r>
          </w:p>
        </w:tc>
        <w:tc>
          <w:tcPr>
            <w:tcW w:type="dxa" w:w="1152"/>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80.45%</w:t>
            </w:r>
          </w:p>
        </w:tc>
      </w:tr>
      <w:tr>
        <w:trPr>
          <w:cantSplit/>
        </w:trPr>
        <w:tc>
          <w:tcPr>
            <w:tcW w:type="dxa" w:w="2592"/>
            <w:vAlign w:val="center"/>
            <w:shd w:fill="F2F5F8"/>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fourier_kashin_b1_lam1.3</w:t>
            </w:r>
          </w:p>
        </w:tc>
        <w:tc>
          <w:tcPr>
            <w:tcW w:type="dxa" w:w="2016"/>
            <w:vAlign w:val="center"/>
            <w:shd w:fill="F2F5F8"/>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fourier_kashin</w:t>
            </w:r>
          </w:p>
        </w:tc>
        <w:tc>
          <w:tcPr>
            <w:tcW w:type="dxa" w:w="1152"/>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w:t>
            </w:r>
          </w:p>
        </w:tc>
        <w:tc>
          <w:tcPr>
            <w:tcW w:type="dxa" w:w="1224"/>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1.30</w:t>
            </w:r>
          </w:p>
        </w:tc>
        <w:tc>
          <w:tcPr>
            <w:tcW w:type="dxa" w:w="1224"/>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1.30</w:t>
            </w:r>
          </w:p>
        </w:tc>
        <w:tc>
          <w:tcPr>
            <w:tcW w:type="dxa" w:w="1152"/>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80.40%</w:t>
            </w:r>
          </w:p>
        </w:tc>
      </w:tr>
      <w:tr>
        <w:trPr>
          <w:cantSplit/>
        </w:trPr>
        <w:tc>
          <w:tcPr>
            <w:tcW w:type="dxa" w:w="2592"/>
            <w:vAlign w:val="center"/>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fourier_kashin_b1_lam1.6</w:t>
            </w:r>
          </w:p>
        </w:tc>
        <w:tc>
          <w:tcPr>
            <w:tcW w:type="dxa" w:w="2016"/>
            <w:vAlign w:val="center"/>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fourier_kashin</w:t>
            </w:r>
          </w:p>
        </w:tc>
        <w:tc>
          <w:tcPr>
            <w:tcW w:type="dxa" w:w="1152"/>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w:t>
            </w:r>
          </w:p>
        </w:tc>
        <w:tc>
          <w:tcPr>
            <w:tcW w:type="dxa" w:w="1224"/>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1.60</w:t>
            </w:r>
          </w:p>
        </w:tc>
        <w:tc>
          <w:tcPr>
            <w:tcW w:type="dxa" w:w="1224"/>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1.60</w:t>
            </w:r>
          </w:p>
        </w:tc>
        <w:tc>
          <w:tcPr>
            <w:tcW w:type="dxa" w:w="1152"/>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80.41%</w:t>
            </w:r>
          </w:p>
        </w:tc>
      </w:tr>
      <w:tr>
        <w:trPr>
          <w:cantSplit/>
        </w:trPr>
        <w:tc>
          <w:tcPr>
            <w:tcW w:type="dxa" w:w="2592"/>
            <w:vAlign w:val="center"/>
            <w:shd w:fill="F2F5F8"/>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fourier_kashin_b1_lam2.0</w:t>
            </w:r>
          </w:p>
        </w:tc>
        <w:tc>
          <w:tcPr>
            <w:tcW w:type="dxa" w:w="2016"/>
            <w:vAlign w:val="center"/>
            <w:shd w:fill="F2F5F8"/>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fourier_kashin</w:t>
            </w:r>
          </w:p>
        </w:tc>
        <w:tc>
          <w:tcPr>
            <w:tcW w:type="dxa" w:w="1152"/>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w:t>
            </w:r>
          </w:p>
        </w:tc>
        <w:tc>
          <w:tcPr>
            <w:tcW w:type="dxa" w:w="1224"/>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2.00</w:t>
            </w:r>
          </w:p>
        </w:tc>
        <w:tc>
          <w:tcPr>
            <w:tcW w:type="dxa" w:w="1224"/>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2.00</w:t>
            </w:r>
          </w:p>
        </w:tc>
        <w:tc>
          <w:tcPr>
            <w:tcW w:type="dxa" w:w="1152"/>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80.43%</w:t>
            </w:r>
          </w:p>
        </w:tc>
      </w:tr>
      <w:tr>
        <w:trPr>
          <w:cantSplit/>
        </w:trPr>
        <w:tc>
          <w:tcPr>
            <w:tcW w:type="dxa" w:w="2592"/>
            <w:vAlign w:val="center"/>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fourier_kashin_b2_lam1.15</w:t>
            </w:r>
          </w:p>
        </w:tc>
        <w:tc>
          <w:tcPr>
            <w:tcW w:type="dxa" w:w="2016"/>
            <w:vAlign w:val="center"/>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fourier_kashin</w:t>
            </w:r>
          </w:p>
        </w:tc>
        <w:tc>
          <w:tcPr>
            <w:tcW w:type="dxa" w:w="1152"/>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2</w:t>
            </w:r>
          </w:p>
        </w:tc>
        <w:tc>
          <w:tcPr>
            <w:tcW w:type="dxa" w:w="1224"/>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1.15</w:t>
            </w:r>
          </w:p>
        </w:tc>
        <w:tc>
          <w:tcPr>
            <w:tcW w:type="dxa" w:w="1224"/>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2.30</w:t>
            </w:r>
          </w:p>
        </w:tc>
        <w:tc>
          <w:tcPr>
            <w:tcW w:type="dxa" w:w="1152"/>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81.94%</w:t>
            </w:r>
          </w:p>
        </w:tc>
      </w:tr>
      <w:tr>
        <w:trPr>
          <w:cantSplit/>
        </w:trPr>
        <w:tc>
          <w:tcPr>
            <w:tcW w:type="dxa" w:w="2592"/>
            <w:vAlign w:val="center"/>
            <w:shd w:fill="F2F5F8"/>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fourier_kashin_b2_lam1.3</w:t>
            </w:r>
          </w:p>
        </w:tc>
        <w:tc>
          <w:tcPr>
            <w:tcW w:type="dxa" w:w="2016"/>
            <w:vAlign w:val="center"/>
            <w:shd w:fill="F2F5F8"/>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fourier_kashin</w:t>
            </w:r>
          </w:p>
        </w:tc>
        <w:tc>
          <w:tcPr>
            <w:tcW w:type="dxa" w:w="1152"/>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2</w:t>
            </w:r>
          </w:p>
        </w:tc>
        <w:tc>
          <w:tcPr>
            <w:tcW w:type="dxa" w:w="1224"/>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1.30</w:t>
            </w:r>
          </w:p>
        </w:tc>
        <w:tc>
          <w:tcPr>
            <w:tcW w:type="dxa" w:w="1224"/>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2.60</w:t>
            </w:r>
          </w:p>
        </w:tc>
        <w:tc>
          <w:tcPr>
            <w:tcW w:type="dxa" w:w="1152"/>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81.88%</w:t>
            </w:r>
          </w:p>
        </w:tc>
      </w:tr>
      <w:tr>
        <w:trPr>
          <w:cantSplit/>
        </w:trPr>
        <w:tc>
          <w:tcPr>
            <w:tcW w:type="dxa" w:w="2592"/>
            <w:vAlign w:val="center"/>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fourier_kashin_b2_lam1.6</w:t>
            </w:r>
          </w:p>
        </w:tc>
        <w:tc>
          <w:tcPr>
            <w:tcW w:type="dxa" w:w="2016"/>
            <w:vAlign w:val="center"/>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fourier_kashin</w:t>
            </w:r>
          </w:p>
        </w:tc>
        <w:tc>
          <w:tcPr>
            <w:tcW w:type="dxa" w:w="1152"/>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2</w:t>
            </w:r>
          </w:p>
        </w:tc>
        <w:tc>
          <w:tcPr>
            <w:tcW w:type="dxa" w:w="1224"/>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1.60</w:t>
            </w:r>
          </w:p>
        </w:tc>
        <w:tc>
          <w:tcPr>
            <w:tcW w:type="dxa" w:w="1224"/>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3.20</w:t>
            </w:r>
          </w:p>
        </w:tc>
        <w:tc>
          <w:tcPr>
            <w:tcW w:type="dxa" w:w="1152"/>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81.90%</w:t>
            </w:r>
          </w:p>
        </w:tc>
      </w:tr>
      <w:tr>
        <w:trPr>
          <w:cantSplit/>
        </w:trPr>
        <w:tc>
          <w:tcPr>
            <w:tcW w:type="dxa" w:w="2592"/>
            <w:vAlign w:val="center"/>
            <w:shd w:fill="F2F5F8"/>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fourier_kashin_b2_lam2.0</w:t>
            </w:r>
          </w:p>
        </w:tc>
        <w:tc>
          <w:tcPr>
            <w:tcW w:type="dxa" w:w="2016"/>
            <w:vAlign w:val="center"/>
            <w:shd w:fill="F2F5F8"/>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fourier_kashin</w:t>
            </w:r>
          </w:p>
        </w:tc>
        <w:tc>
          <w:tcPr>
            <w:tcW w:type="dxa" w:w="1152"/>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2</w:t>
            </w:r>
          </w:p>
        </w:tc>
        <w:tc>
          <w:tcPr>
            <w:tcW w:type="dxa" w:w="1224"/>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2.00</w:t>
            </w:r>
          </w:p>
        </w:tc>
        <w:tc>
          <w:tcPr>
            <w:tcW w:type="dxa" w:w="1224"/>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4.00</w:t>
            </w:r>
          </w:p>
        </w:tc>
        <w:tc>
          <w:tcPr>
            <w:tcW w:type="dxa" w:w="1152"/>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81.91%</w:t>
            </w:r>
          </w:p>
        </w:tc>
      </w:tr>
      <w:tr>
        <w:trPr>
          <w:cantSplit/>
        </w:trPr>
        <w:tc>
          <w:tcPr>
            <w:tcW w:type="dxa" w:w="2592"/>
            <w:vAlign w:val="center"/>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fourier_kashin_b3_lam1.15</w:t>
            </w:r>
          </w:p>
        </w:tc>
        <w:tc>
          <w:tcPr>
            <w:tcW w:type="dxa" w:w="2016"/>
            <w:vAlign w:val="center"/>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fourier_kashin</w:t>
            </w:r>
          </w:p>
        </w:tc>
        <w:tc>
          <w:tcPr>
            <w:tcW w:type="dxa" w:w="1152"/>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3</w:t>
            </w:r>
          </w:p>
        </w:tc>
        <w:tc>
          <w:tcPr>
            <w:tcW w:type="dxa" w:w="1224"/>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1.15</w:t>
            </w:r>
          </w:p>
        </w:tc>
        <w:tc>
          <w:tcPr>
            <w:tcW w:type="dxa" w:w="1224"/>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3.45</w:t>
            </w:r>
          </w:p>
        </w:tc>
        <w:tc>
          <w:tcPr>
            <w:tcW w:type="dxa" w:w="1152"/>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81.89%</w:t>
            </w:r>
          </w:p>
        </w:tc>
      </w:tr>
      <w:tr>
        <w:trPr>
          <w:cantSplit/>
        </w:trPr>
        <w:tc>
          <w:tcPr>
            <w:tcW w:type="dxa" w:w="2592"/>
            <w:vAlign w:val="center"/>
            <w:shd w:fill="F2F5F8"/>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fourier_kashin_b3_lam1.3</w:t>
            </w:r>
          </w:p>
        </w:tc>
        <w:tc>
          <w:tcPr>
            <w:tcW w:type="dxa" w:w="2016"/>
            <w:vAlign w:val="center"/>
            <w:shd w:fill="F2F5F8"/>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fourier_kashin</w:t>
            </w:r>
          </w:p>
        </w:tc>
        <w:tc>
          <w:tcPr>
            <w:tcW w:type="dxa" w:w="1152"/>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3</w:t>
            </w:r>
          </w:p>
        </w:tc>
        <w:tc>
          <w:tcPr>
            <w:tcW w:type="dxa" w:w="1224"/>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1.30</w:t>
            </w:r>
          </w:p>
        </w:tc>
        <w:tc>
          <w:tcPr>
            <w:tcW w:type="dxa" w:w="1224"/>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3.90</w:t>
            </w:r>
          </w:p>
        </w:tc>
        <w:tc>
          <w:tcPr>
            <w:tcW w:type="dxa" w:w="1152"/>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81.91%</w:t>
            </w:r>
          </w:p>
        </w:tc>
      </w:tr>
      <w:tr>
        <w:trPr>
          <w:cantSplit/>
        </w:trPr>
        <w:tc>
          <w:tcPr>
            <w:tcW w:type="dxa" w:w="2592"/>
            <w:vAlign w:val="center"/>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fourier_kashin_b3_lam1.6</w:t>
            </w:r>
          </w:p>
        </w:tc>
        <w:tc>
          <w:tcPr>
            <w:tcW w:type="dxa" w:w="2016"/>
            <w:vAlign w:val="center"/>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fourier_kashin</w:t>
            </w:r>
          </w:p>
        </w:tc>
        <w:tc>
          <w:tcPr>
            <w:tcW w:type="dxa" w:w="1152"/>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3</w:t>
            </w:r>
          </w:p>
        </w:tc>
        <w:tc>
          <w:tcPr>
            <w:tcW w:type="dxa" w:w="1224"/>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1.60</w:t>
            </w:r>
          </w:p>
        </w:tc>
        <w:tc>
          <w:tcPr>
            <w:tcW w:type="dxa" w:w="1224"/>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4.80</w:t>
            </w:r>
          </w:p>
        </w:tc>
        <w:tc>
          <w:tcPr>
            <w:tcW w:type="dxa" w:w="1152"/>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81.88%</w:t>
            </w:r>
          </w:p>
        </w:tc>
      </w:tr>
      <w:tr>
        <w:trPr>
          <w:cantSplit/>
        </w:trPr>
        <w:tc>
          <w:tcPr>
            <w:tcW w:type="dxa" w:w="2592"/>
            <w:vAlign w:val="center"/>
            <w:shd w:fill="F2F5F8"/>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fourier_kashin_b3_lam2.0</w:t>
            </w:r>
          </w:p>
        </w:tc>
        <w:tc>
          <w:tcPr>
            <w:tcW w:type="dxa" w:w="2016"/>
            <w:vAlign w:val="center"/>
            <w:shd w:fill="F2F5F8"/>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fourier_kashin</w:t>
            </w:r>
          </w:p>
        </w:tc>
        <w:tc>
          <w:tcPr>
            <w:tcW w:type="dxa" w:w="1152"/>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3</w:t>
            </w:r>
          </w:p>
        </w:tc>
        <w:tc>
          <w:tcPr>
            <w:tcW w:type="dxa" w:w="1224"/>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2.00</w:t>
            </w:r>
          </w:p>
        </w:tc>
        <w:tc>
          <w:tcPr>
            <w:tcW w:type="dxa" w:w="1224"/>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6.00</w:t>
            </w:r>
          </w:p>
        </w:tc>
        <w:tc>
          <w:tcPr>
            <w:tcW w:type="dxa" w:w="1152"/>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81.83%</w:t>
            </w:r>
          </w:p>
        </w:tc>
      </w:tr>
      <w:tr>
        <w:trPr>
          <w:cantSplit/>
        </w:trPr>
        <w:tc>
          <w:tcPr>
            <w:tcW w:type="dxa" w:w="2592"/>
            <w:vAlign w:val="center"/>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hadamard_b1</w:t>
            </w:r>
          </w:p>
        </w:tc>
        <w:tc>
          <w:tcPr>
            <w:tcW w:type="dxa" w:w="2016"/>
            <w:vAlign w:val="center"/>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hadamard（补零至 2^17）</w:t>
            </w:r>
          </w:p>
        </w:tc>
        <w:tc>
          <w:tcPr>
            <w:tcW w:type="dxa" w:w="1152"/>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w:t>
            </w:r>
          </w:p>
        </w:tc>
        <w:tc>
          <w:tcPr>
            <w:tcW w:type="dxa" w:w="1224"/>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1.21</w:t>
            </w:r>
          </w:p>
        </w:tc>
        <w:tc>
          <w:tcPr>
            <w:tcW w:type="dxa" w:w="1224"/>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1.21</w:t>
            </w:r>
          </w:p>
        </w:tc>
        <w:tc>
          <w:tcPr>
            <w:tcW w:type="dxa" w:w="1152"/>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80.40%</w:t>
            </w:r>
          </w:p>
        </w:tc>
      </w:tr>
      <w:tr>
        <w:trPr>
          <w:cantSplit/>
        </w:trPr>
        <w:tc>
          <w:tcPr>
            <w:tcW w:type="dxa" w:w="2592"/>
            <w:vAlign w:val="center"/>
            <w:shd w:fill="F2F5F8"/>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hadamard_b2</w:t>
            </w:r>
          </w:p>
        </w:tc>
        <w:tc>
          <w:tcPr>
            <w:tcW w:type="dxa" w:w="2016"/>
            <w:vAlign w:val="center"/>
            <w:shd w:fill="F2F5F8"/>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hadamard（补零至 2^17）</w:t>
            </w:r>
          </w:p>
        </w:tc>
        <w:tc>
          <w:tcPr>
            <w:tcW w:type="dxa" w:w="1152"/>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2</w:t>
            </w:r>
          </w:p>
        </w:tc>
        <w:tc>
          <w:tcPr>
            <w:tcW w:type="dxa" w:w="1224"/>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1.21</w:t>
            </w:r>
          </w:p>
        </w:tc>
        <w:tc>
          <w:tcPr>
            <w:tcW w:type="dxa" w:w="1224"/>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2.42</w:t>
            </w:r>
          </w:p>
        </w:tc>
        <w:tc>
          <w:tcPr>
            <w:tcW w:type="dxa" w:w="1152"/>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81.83%</w:t>
            </w:r>
          </w:p>
        </w:tc>
      </w:tr>
      <w:tr>
        <w:trPr>
          <w:cantSplit/>
        </w:trPr>
        <w:tc>
          <w:tcPr>
            <w:tcW w:type="dxa" w:w="2592"/>
            <w:vAlign w:val="center"/>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hadamard_b3</w:t>
            </w:r>
          </w:p>
        </w:tc>
        <w:tc>
          <w:tcPr>
            <w:tcW w:type="dxa" w:w="2016"/>
            <w:vAlign w:val="center"/>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hadamard（补零至 2^17）</w:t>
            </w:r>
          </w:p>
        </w:tc>
        <w:tc>
          <w:tcPr>
            <w:tcW w:type="dxa" w:w="1152"/>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3</w:t>
            </w:r>
          </w:p>
        </w:tc>
        <w:tc>
          <w:tcPr>
            <w:tcW w:type="dxa" w:w="1224"/>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1.21</w:t>
            </w:r>
          </w:p>
        </w:tc>
        <w:tc>
          <w:tcPr>
            <w:tcW w:type="dxa" w:w="1224"/>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3.63</w:t>
            </w:r>
          </w:p>
        </w:tc>
        <w:tc>
          <w:tcPr>
            <w:tcW w:type="dxa" w:w="1152"/>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81.84%</w:t>
            </w:r>
          </w:p>
        </w:tc>
      </w:tr>
      <w:tr>
        <w:trPr>
          <w:cantSplit/>
        </w:trPr>
        <w:tc>
          <w:tcPr>
            <w:tcW w:type="dxa" w:w="2592"/>
            <w:vAlign w:val="center"/>
            <w:shd w:fill="F2F5F8"/>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raw_b1</w:t>
            </w:r>
          </w:p>
        </w:tc>
        <w:tc>
          <w:tcPr>
            <w:tcW w:type="dxa" w:w="2016"/>
            <w:vAlign w:val="center"/>
            <w:shd w:fill="F2F5F8"/>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raw（SignSGD 无变换）</w:t>
            </w:r>
          </w:p>
        </w:tc>
        <w:tc>
          <w:tcPr>
            <w:tcW w:type="dxa" w:w="1152"/>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w:t>
            </w:r>
          </w:p>
        </w:tc>
        <w:tc>
          <w:tcPr>
            <w:tcW w:type="dxa" w:w="1224"/>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1.00</w:t>
            </w:r>
          </w:p>
        </w:tc>
        <w:tc>
          <w:tcPr>
            <w:tcW w:type="dxa" w:w="1224"/>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1.00</w:t>
            </w:r>
          </w:p>
        </w:tc>
        <w:tc>
          <w:tcPr>
            <w:tcW w:type="dxa" w:w="1152"/>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75.96%</w:t>
            </w:r>
          </w:p>
        </w:tc>
      </w:tr>
      <w:tr>
        <w:trPr>
          <w:cantSplit/>
        </w:trPr>
        <w:tc>
          <w:tcPr>
            <w:tcW w:type="dxa" w:w="2592"/>
            <w:vAlign w:val="center"/>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raw_b2</w:t>
            </w:r>
          </w:p>
        </w:tc>
        <w:tc>
          <w:tcPr>
            <w:tcW w:type="dxa" w:w="2016"/>
            <w:vAlign w:val="center"/>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raw（无变换 2-bit）</w:t>
            </w:r>
          </w:p>
        </w:tc>
        <w:tc>
          <w:tcPr>
            <w:tcW w:type="dxa" w:w="1152"/>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2</w:t>
            </w:r>
          </w:p>
        </w:tc>
        <w:tc>
          <w:tcPr>
            <w:tcW w:type="dxa" w:w="1224"/>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1.00</w:t>
            </w:r>
          </w:p>
        </w:tc>
        <w:tc>
          <w:tcPr>
            <w:tcW w:type="dxa" w:w="1224"/>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2.00</w:t>
            </w:r>
          </w:p>
        </w:tc>
        <w:tc>
          <w:tcPr>
            <w:tcW w:type="dxa" w:w="1152"/>
            <w:vAlign w:val="center"/>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79.15%</w:t>
            </w:r>
          </w:p>
        </w:tc>
      </w:tr>
      <w:tr>
        <w:trPr>
          <w:cantSplit/>
        </w:trPr>
        <w:tc>
          <w:tcPr>
            <w:tcW w:type="dxa" w:w="2592"/>
            <w:vAlign w:val="center"/>
            <w:shd w:fill="F2F5F8"/>
            <w:tcMar>
              <w:top w:w="60" w:type="dxa"/>
              <w:bottom w:w="60" w:type="dxa"/>
              <w:left w:w="100" w:type="dxa"/>
              <w:right w:w="100" w:type="dxa"/>
            </w:tcMar>
          </w:tcPr>
          <w:p>
            <w:pPr>
              <w:spacing w:before="40" w:after="40" w:line="252" w:lineRule="auto"/>
              <w:jc w:val="left"/>
            </w:pPr>
            <w:r/>
            <w:r>
              <w:rPr>
                <w:rFonts w:ascii="Calibri" w:hAnsi="Calibri" w:eastAsia="Microsoft YaHei"/>
                <w:b/>
                <w:color w:val="222222"/>
                <w:sz w:val="20"/>
              </w:rPr>
              <w:t>raw_b3</w:t>
            </w:r>
          </w:p>
        </w:tc>
        <w:tc>
          <w:tcPr>
            <w:tcW w:type="dxa" w:w="2016"/>
            <w:vAlign w:val="center"/>
            <w:shd w:fill="F2F5F8"/>
            <w:tcMar>
              <w:top w:w="60" w:type="dxa"/>
              <w:bottom w:w="60" w:type="dxa"/>
              <w:left w:w="100" w:type="dxa"/>
              <w:right w:w="100" w:type="dxa"/>
            </w:tcMar>
          </w:tcPr>
          <w:p>
            <w:pPr>
              <w:spacing w:before="40" w:after="40" w:line="252" w:lineRule="auto"/>
              <w:jc w:val="center"/>
            </w:pPr>
            <w:r/>
            <w:r>
              <w:rPr>
                <w:rFonts w:ascii="Calibri" w:hAnsi="Calibri" w:eastAsia="Microsoft YaHei"/>
                <w:color w:val="222222"/>
                <w:sz w:val="20"/>
              </w:rPr>
              <w:t>raw（无变换 3-bit）</w:t>
            </w:r>
          </w:p>
        </w:tc>
        <w:tc>
          <w:tcPr>
            <w:tcW w:type="dxa" w:w="1152"/>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3</w:t>
            </w:r>
          </w:p>
        </w:tc>
        <w:tc>
          <w:tcPr>
            <w:tcW w:type="dxa" w:w="1224"/>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1.00</w:t>
            </w:r>
          </w:p>
        </w:tc>
        <w:tc>
          <w:tcPr>
            <w:tcW w:type="dxa" w:w="1224"/>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3.00</w:t>
            </w:r>
          </w:p>
        </w:tc>
        <w:tc>
          <w:tcPr>
            <w:tcW w:type="dxa" w:w="1152"/>
            <w:vAlign w:val="center"/>
            <w:shd w:fill="F2F5F8"/>
            <w:tcMar>
              <w:top w:w="60" w:type="dxa"/>
              <w:bottom w:w="60" w:type="dxa"/>
              <w:left w:w="100" w:type="dxa"/>
              <w:right w:w="100" w:type="dxa"/>
            </w:tcMar>
          </w:tcPr>
          <w:p>
            <w:pPr>
              <w:spacing w:before="40" w:after="40" w:line="252" w:lineRule="auto"/>
              <w:jc w:val="right"/>
            </w:pPr>
            <w:r/>
            <w:r>
              <w:rPr>
                <w:rFonts w:ascii="Calibri" w:hAnsi="Calibri" w:eastAsia="Microsoft YaHei"/>
                <w:color w:val="222222"/>
                <w:sz w:val="20"/>
              </w:rPr>
              <w:t>81.42%</w:t>
            </w:r>
          </w:p>
        </w:tc>
      </w:tr>
    </w:tbl>
    <w:p>
      <w:pPr>
        <w:spacing w:before="0" w:after="80"/>
      </w:pPr>
    </w:p>
    <w:p>
      <w:pPr>
        <w:keepNext/>
        <w:spacing w:before="200" w:after="80"/>
      </w:pPr>
      <w:r>
        <w:rPr>
          <w:rFonts w:ascii="Calibri" w:hAnsi="Calibri" w:eastAsia="Microsoft YaHei"/>
          <w:b/>
          <w:color w:val="2B5B84"/>
          <w:sz w:val="25"/>
        </w:rPr>
        <w:t>3.2 实验结果核心结论</w:t>
      </w:r>
    </w:p>
    <w:p>
      <w:pPr>
        <w:pStyle w:val="ListBullet"/>
        <w:spacing w:before="20" w:after="60" w:line="276" w:lineRule="auto"/>
        <w:ind w:left="360"/>
      </w:pPr>
      <w:r>
        <w:rPr>
          <w:rFonts w:ascii="Calibri" w:hAnsi="Calibri" w:eastAsia="Microsoft YaHei"/>
          <w:b/>
          <w:color w:val="222222"/>
          <w:sz w:val="22"/>
        </w:rPr>
        <w:t>1. 通信量越大、准确率越高（解决了上周的反常现象）：</w:t>
      </w:r>
      <w:r>
        <w:rPr>
          <w:rFonts w:ascii="Calibri" w:hAnsi="Calibri" w:eastAsia="Microsoft YaHei"/>
          <w:color w:val="222222"/>
          <w:sz w:val="22"/>
        </w:rPr>
        <w:t>修正多比特量化边界后，无论是 raw、hadamard 还是 fourier_kashin，从 1-bit 增加到 2-bit、3-bit 时，准确率均呈现清晰的上升趋势（例如 raw 从 75.96% → 79.15% → 81.42%；fourier_kashin 从 80.45% → 81.94%），完全符合通信开销越大、恢复越准的规律。</w:t>
      </w:r>
    </w:p>
    <w:p>
      <w:pPr>
        <w:pStyle w:val="ListBullet"/>
        <w:spacing w:before="20" w:after="60" w:line="276" w:lineRule="auto"/>
        <w:ind w:left="360"/>
      </w:pPr>
      <w:r>
        <w:rPr>
          <w:rFonts w:ascii="Calibri" w:hAnsi="Calibri" w:eastAsia="Microsoft YaHei"/>
          <w:b/>
          <w:color w:val="222222"/>
          <w:sz w:val="22"/>
        </w:rPr>
        <w:t>2. 1-bit 下旋转变换优势显著，且 Fourier-Kashin 比 Hadamard 更省通信比特：</w:t>
      </w:r>
      <w:r>
        <w:rPr>
          <w:rFonts w:ascii="Calibri" w:hAnsi="Calibri" w:eastAsia="Microsoft YaHei"/>
          <w:color w:val="222222"/>
          <w:sz w:val="22"/>
        </w:rPr>
        <w:t>在 1-bit 下，不做变换的 raw 准确率仅 75.96%，而经过旋转的 hadamard 和 fourier_kashin 均达到 80.45% 左右（高出约 4.5 个百分点）。更重要的是，因为 Hadamard 必须补零到 131,072 维（被迫 λ=1.21），而 Fourier-Kashin 可以自由取 λ=1.15，因此在达到同样的 80.45%（1-bit）和 81.94%（2-bit，已触及该 CNN 模型无压缩的精度上限）时，Fourier-Kashin 所需的 BPD（1.15 和 2.30）均低于 Hadamard（1.21 和 2.42），更比 raw 节省约 40% 的通信量。</w:t>
      </w:r>
    </w:p>
    <w:p>
      <w:pPr>
        <w:pStyle w:val="ListBullet"/>
        <w:spacing w:before="20" w:after="160" w:line="276" w:lineRule="auto"/>
        <w:ind w:left="360"/>
      </w:pPr>
      <w:r>
        <w:rPr>
          <w:rFonts w:ascii="Calibri" w:hAnsi="Calibri" w:eastAsia="Microsoft YaHei"/>
          <w:b/>
          <w:color w:val="222222"/>
          <w:sz w:val="22"/>
        </w:rPr>
        <w:t>3. 重建误差（NMSE）对比（见图 3）：</w:t>
      </w:r>
      <w:r>
        <w:rPr>
          <w:rFonts w:ascii="Calibri" w:hAnsi="Calibri" w:eastAsia="Microsoft YaHei"/>
          <w:color w:val="222222"/>
          <w:sz w:val="22"/>
        </w:rPr>
        <w:t>在图 3 中可以看到，由于不做变换的 raw 存在个别极大的梯度尖峰，把量化尺子拉得过宽，导致 raw 在 2-bit 和 3-bit 下的重建误差（NMSE，红线）高达 120 和 22（注：图 1 中因为 18 条曲线共用 10 种颜色循环，排在最后的 raw_b2 和 raw_b3 重复了粉色和灰色）；而 hadamard（蓝虚线）和 fourier_kashin（绿线）通过把能量摊平，将误差降到了 1.0 以下。其中 fourier_kashin 在全部比特下的重建误差都是全场最低的（在 1-bit 下随 λ 增大从 0.34 稳步降到 0.25；在 2-bit 和 3-bit 下比 Hadamard 的误差还要低约 30%）。</w:t>
      </w:r>
    </w:p>
    <w:p>
      <w:pPr>
        <w:keepNext/>
        <w:spacing w:before="200" w:after="80"/>
      </w:pPr>
      <w:r>
        <w:rPr>
          <w:rFonts w:ascii="Calibri" w:hAnsi="Calibri" w:eastAsia="Microsoft YaHei"/>
          <w:b/>
          <w:color w:val="2B5B84"/>
          <w:sz w:val="25"/>
        </w:rPr>
        <w:t>3.3 实验结果图表</w:t>
      </w:r>
    </w:p>
    <w:p>
      <w:pPr>
        <w:keepNext/>
        <w:spacing w:before="120" w:after="40"/>
        <w:jc w:val="center"/>
      </w:pPr>
      <w:r>
        <w:drawing>
          <wp:inline xmlns:a="http://schemas.openxmlformats.org/drawingml/2006/main" xmlns:pic="http://schemas.openxmlformats.org/drawingml/2006/picture">
            <wp:extent cx="5486400" cy="3566160"/>
            <wp:docPr id="1" name="Picture 1"/>
            <wp:cNvGraphicFramePr>
              <a:graphicFrameLocks noChangeAspect="1"/>
            </wp:cNvGraphicFramePr>
            <a:graphic>
              <a:graphicData uri="http://schemas.openxmlformats.org/drawingml/2006/picture">
                <pic:pic>
                  <pic:nvPicPr>
                    <pic:cNvPr id="0" name="img_2.png"/>
                    <pic:cNvPicPr/>
                  </pic:nvPicPr>
                  <pic:blipFill>
                    <a:blip r:embed="rId9"/>
                    <a:stretch>
                      <a:fillRect/>
                    </a:stretch>
                  </pic:blipFill>
                  <pic:spPr>
                    <a:xfrm>
                      <a:off x="0" y="0"/>
                      <a:ext cx="5486400" cy="3566160"/>
                    </a:xfrm>
                    <a:prstGeom prst="rect"/>
                  </pic:spPr>
                </pic:pic>
              </a:graphicData>
            </a:graphic>
          </wp:inline>
        </w:drawing>
      </w:r>
    </w:p>
    <w:p>
      <w:pPr>
        <w:spacing w:before="0" w:after="160"/>
        <w:jc w:val="center"/>
      </w:pPr>
      <w:r>
        <w:rPr>
          <w:rFonts w:ascii="Calibri" w:hAnsi="Calibri" w:eastAsia="Microsoft YaHei"/>
          <w:i/>
          <w:color w:val="555555"/>
          <w:sz w:val="19"/>
        </w:rPr>
        <w:t>图 1：测试集准确率 vs 每维度比特数（BPD = bits × λ，最后 10 轮平均）。绿色实线为 Fourier-Kashin 的最优前沿。</w:t>
      </w:r>
    </w:p>
    <w:p>
      <w:pPr>
        <w:keepNext/>
        <w:spacing w:before="120" w:after="40"/>
        <w:jc w:val="center"/>
      </w:pPr>
      <w:r>
        <w:drawing>
          <wp:inline xmlns:a="http://schemas.openxmlformats.org/drawingml/2006/main" xmlns:pic="http://schemas.openxmlformats.org/drawingml/2006/picture">
            <wp:extent cx="5486400" cy="3566160"/>
            <wp:docPr id="2" name="Picture 2"/>
            <wp:cNvGraphicFramePr>
              <a:graphicFrameLocks noChangeAspect="1"/>
            </wp:cNvGraphicFramePr>
            <a:graphic>
              <a:graphicData uri="http://schemas.openxmlformats.org/drawingml/2006/picture">
                <pic:pic>
                  <pic:nvPicPr>
                    <pic:cNvPr id="0" name="img_3.png"/>
                    <pic:cNvPicPr/>
                  </pic:nvPicPr>
                  <pic:blipFill>
                    <a:blip r:embed="rId10"/>
                    <a:stretch>
                      <a:fillRect/>
                    </a:stretch>
                  </pic:blipFill>
                  <pic:spPr>
                    <a:xfrm>
                      <a:off x="0" y="0"/>
                      <a:ext cx="5486400" cy="3566160"/>
                    </a:xfrm>
                    <a:prstGeom prst="rect"/>
                  </pic:spPr>
                </pic:pic>
              </a:graphicData>
            </a:graphic>
          </wp:inline>
        </w:drawing>
      </w:r>
    </w:p>
    <w:p>
      <w:pPr>
        <w:spacing w:before="0" w:after="160"/>
        <w:jc w:val="center"/>
      </w:pPr>
      <w:r>
        <w:rPr>
          <w:rFonts w:ascii="Calibri" w:hAnsi="Calibri" w:eastAsia="Microsoft YaHei"/>
          <w:i/>
          <w:color w:val="555555"/>
          <w:sz w:val="19"/>
        </w:rPr>
        <w:t>图 2：客户端平均重建误差（NMSE）vs 每维度比特数（BPD）。红线为 raw，蓝虚线为 hadamard，绿线为 fourier_kashin。</w:t>
      </w:r>
    </w:p>
    <w:p>
      <w:pPr>
        <w:keepNext/>
        <w:spacing w:before="120" w:after="40"/>
        <w:jc w:val="center"/>
      </w:pPr>
      <w:r>
        <w:drawing>
          <wp:inline xmlns:a="http://schemas.openxmlformats.org/drawingml/2006/main" xmlns:pic="http://schemas.openxmlformats.org/drawingml/2006/picture">
            <wp:extent cx="5669280" cy="3924886"/>
            <wp:docPr id="3" name="Picture 3"/>
            <wp:cNvGraphicFramePr>
              <a:graphicFrameLocks noChangeAspect="1"/>
            </wp:cNvGraphicFramePr>
            <a:graphic>
              <a:graphicData uri="http://schemas.openxmlformats.org/drawingml/2006/picture">
                <pic:pic>
                  <pic:nvPicPr>
                    <pic:cNvPr id="0" name="img_1.png"/>
                    <pic:cNvPicPr/>
                  </pic:nvPicPr>
                  <pic:blipFill>
                    <a:blip r:embed="rId11"/>
                    <a:stretch>
                      <a:fillRect/>
                    </a:stretch>
                  </pic:blipFill>
                  <pic:spPr>
                    <a:xfrm>
                      <a:off x="0" y="0"/>
                      <a:ext cx="5669280" cy="3924886"/>
                    </a:xfrm>
                    <a:prstGeom prst="rect"/>
                  </pic:spPr>
                </pic:pic>
              </a:graphicData>
            </a:graphic>
          </wp:inline>
        </w:drawing>
      </w:r>
    </w:p>
    <w:p>
      <w:pPr>
        <w:spacing w:before="0" w:after="160"/>
        <w:jc w:val="center"/>
      </w:pPr>
      <w:r>
        <w:rPr>
          <w:rFonts w:ascii="Calibri" w:hAnsi="Calibri" w:eastAsia="Microsoft YaHei"/>
          <w:i/>
          <w:color w:val="555555"/>
          <w:sz w:val="19"/>
        </w:rPr>
        <w:t>图 3：全部 18 组配置在 100 轮训练过程中的准确率与 NMSE 收敛曲线。</w:t>
      </w:r>
    </w:p>
    <w:p>
      <w:pPr>
        <w:keepNext/>
        <w:spacing w:before="200" w:after="80"/>
      </w:pPr>
      <w:r>
        <w:rPr>
          <w:rFonts w:ascii="Calibri" w:hAnsi="Calibri" w:eastAsia="Microsoft YaHei"/>
          <w:b/>
          <w:color w:val="2B5B84"/>
          <w:sz w:val="25"/>
        </w:rPr>
        <w:t>3.4 下一步工作计划</w:t>
      </w:r>
    </w:p>
    <w:p>
      <w:pPr>
        <w:pStyle w:val="ListBullet"/>
        <w:spacing w:before="20" w:after="60" w:line="276" w:lineRule="auto"/>
        <w:ind w:left="360"/>
      </w:pPr>
      <w:r>
        <w:rPr>
          <w:rFonts w:ascii="Calibri" w:hAnsi="Calibri" w:eastAsia="Microsoft YaHei"/>
          <w:b/>
          <w:color w:val="222222"/>
          <w:sz w:val="22"/>
        </w:rPr>
        <w:t>1. 开展无缩放因子（noscale）模式下的对比实验：</w:t>
      </w:r>
      <w:r>
        <w:rPr>
          <w:rFonts w:ascii="Calibri" w:hAnsi="Calibri" w:eastAsia="Microsoft YaHei"/>
          <w:color w:val="222222"/>
          <w:sz w:val="22"/>
        </w:rPr>
        <w:t>在本次有缩放（doscale）实验中，由于每轮额外传了真实最大值，1-bit 下改变 λ（从 1.15 到 2.0）对最终准确率影响不大（均在 80.4% 左右），且 2-bit 已达到 CNN 模型本身的准确率上限（81.9%）。下一步将重点运行 noscale（固定量化阈值、不传每轮缩放因子）实验，验证在没有动态缩放保护时，Fourier-Kashin 通过增大 λ 压低极值、减少溢出截断的实际收益。</w:t>
      </w:r>
    </w:p>
    <w:p>
      <w:pPr>
        <w:pStyle w:val="ListBullet"/>
        <w:spacing w:before="20" w:after="160" w:line="276" w:lineRule="auto"/>
        <w:ind w:left="360"/>
      </w:pPr>
      <w:r>
        <w:rPr>
          <w:rFonts w:ascii="Calibri" w:hAnsi="Calibri" w:eastAsia="Microsoft YaHei"/>
          <w:b/>
          <w:color w:val="222222"/>
          <w:sz w:val="22"/>
        </w:rPr>
        <w:t>2. 验证模型参数量刚巧超过 2^k 时的通信节省优势：</w:t>
      </w:r>
      <w:r>
        <w:rPr>
          <w:rFonts w:ascii="Calibri" w:hAnsi="Calibri" w:eastAsia="Microsoft YaHei"/>
          <w:color w:val="222222"/>
          <w:sz w:val="22"/>
        </w:rPr>
        <w:t>当前 CNN 参数量（108,271）补零到 131,072 时，Hadamard 只多花了 21% 的冗余（λ=1.21）。但在很多网络中，当参数量刚巧超过 2 的幂次（例如略大于 65,536 或 131,072）时，Hadamard 被迫补零接近一倍（λ 接近 1.9~2.0），而 Fourier-Kashin 依然可以保持 λ=1.15，下一步将补充这一对比以充分展示 FFT 框架的维度灵活性。</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