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rPr/>
      </w:pPr>
      <w:r w:rsidDel="00000000" w:rsidR="00000000" w:rsidRPr="00000000">
        <w:rPr>
          <w:rtl w:val="0"/>
        </w:rPr>
        <w:t xml:space="preserve">At 100 epochs, BP drives MNIST to near‑perfect performance—surpassing 99 % accuracy within the first few dozen epochs whereas FA slowly climbs to about 92–93 % accuracy by epoch 100 (with losses leveling off around 0.47 vs. BP’s ~0.01). When we inspect per‑layer update alignment, FA’s deep‐layer weight updates initially spike to a cosine similarity of ~0.6 in the earliest epochs but then decay to ~0.1 and remain low, while shallow parameters hover near zero similarity throughout</w:t>
      </w:r>
    </w:p>
    <w:p w:rsidR="00000000" w:rsidDel="00000000" w:rsidP="00000000" w:rsidRDefault="00000000" w:rsidRPr="00000000" w14:paraId="00000002">
      <w:pPr>
        <w:widowControl w:val="0"/>
        <w:spacing w:after="240" w:before="240" w:lineRule="auto"/>
        <w:rPr>
          <w:b w:val="1"/>
          <w:bCs w:val="1"/>
        </w:rPr>
      </w:pPr>
      <w:r w:rsidDel="00000000" w:rsidR="00000000" w:rsidRPr="00000000">
        <w:rPr>
          <w:rtl w:val="0"/>
        </w:rPr>
        <w:t xml:space="preserve"> Correspondingly, FA’s signal‑to‑noise ratios fall from around 1 down to below 0.01, in stark contrast to BP’s SNR, which rises above unity in deeper layers. Yet despite these noisier, weakly aligned updates, FA consistently yields hidden‐layer representations that are ~0.53 cosine‑similar to BP across all 100 epochs—indicating that even fixed random feedback can preserve over half of BP’s feature structure across prolonged training.</w:t>
      </w:r>
      <w:r w:rsidDel="00000000" w:rsidR="00000000" w:rsidRPr="00000000">
        <w:rPr>
          <w:rtl w:val="0"/>
        </w:rPr>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Yasaman’s part:</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Data Preparation &amp; Splitting</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Dataset:</w:t>
      </w:r>
      <w:r w:rsidDel="00000000" w:rsidR="00000000" w:rsidRPr="00000000">
        <w:rPr>
          <w:rtl w:val="0"/>
        </w:rPr>
        <w:t xml:space="preserve"> MNIST handwritten digits (60 000 train, 10 000 test).</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Transforms:</w:t>
      </w:r>
      <w:r w:rsidDel="00000000" w:rsidR="00000000" w:rsidRPr="00000000">
        <w:rPr>
          <w:rtl w:val="0"/>
        </w:rPr>
        <w:t xml:space="preserve"> Convert to tensor; normalize to mean=0.1307, std=0.3081.</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Train/Val/Test split:</w:t>
        <w:br w:type="textWrapping"/>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Shuffle full training set (seed = 42).</w:t>
        <w:br w:type="textWrapping"/>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80/20 split into “full” train/val indices.</w:t>
        <w:br w:type="textWrapping"/>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Subsample every other example for final train (40%) and val (10%) sets.</w:t>
        <w:br w:type="textWrapping"/>
      </w:r>
    </w:p>
    <w:p w:rsidR="00000000" w:rsidDel="00000000" w:rsidP="00000000" w:rsidRDefault="00000000" w:rsidRPr="00000000" w14:paraId="0000000B">
      <w:pPr>
        <w:numPr>
          <w:ilvl w:val="1"/>
          <w:numId w:val="5"/>
        </w:numPr>
        <w:spacing w:after="240" w:before="0" w:beforeAutospacing="0" w:lineRule="auto"/>
        <w:ind w:left="1440" w:hanging="360"/>
      </w:pPr>
      <w:r w:rsidDel="00000000" w:rsidR="00000000" w:rsidRPr="00000000">
        <w:rPr>
          <w:rtl w:val="0"/>
        </w:rPr>
        <w:t xml:space="preserve">Batch size = 128; shuffling on train only.</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Model Architecture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Feed‑Forward Network (FFN):</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Flatten</w:t>
      </w:r>
      <w:r w:rsidDel="00000000" w:rsidR="00000000" w:rsidRPr="00000000">
        <w:rPr>
          <w:rFonts w:ascii="Arial Unicode MS" w:cs="Arial Unicode MS" w:eastAsia="Arial Unicode MS" w:hAnsi="Arial Unicode MS"/>
          <w:rtl w:val="0"/>
        </w:rPr>
        <w:t xml:space="preserve"> 28×28 → 784 vector</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Linear Layer</w:t>
      </w:r>
      <w:r w:rsidDel="00000000" w:rsidR="00000000" w:rsidRPr="00000000">
        <w:rPr>
          <w:rFonts w:ascii="Arial Unicode MS" w:cs="Arial Unicode MS" w:eastAsia="Arial Unicode MS" w:hAnsi="Arial Unicode MS"/>
          <w:rtl w:val="0"/>
        </w:rPr>
        <w:t xml:space="preserve">: 784 → 128 hidden units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ReLU Activation</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Linear Layer</w:t>
      </w:r>
      <w:r w:rsidDel="00000000" w:rsidR="00000000" w:rsidRPr="00000000">
        <w:rPr>
          <w:rFonts w:ascii="Arial Unicode MS" w:cs="Arial Unicode MS" w:eastAsia="Arial Unicode MS" w:hAnsi="Arial Unicode MS"/>
          <w:rtl w:val="0"/>
        </w:rPr>
        <w:t xml:space="preserve">: 128 → 10 logits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Instantiations:</w:t>
      </w:r>
      <w:r w:rsidDel="00000000" w:rsidR="00000000" w:rsidRPr="00000000">
        <w:rPr>
          <w:rtl w:val="0"/>
        </w:rPr>
        <w:t xml:space="preserve"> Two independent copies (</w:t>
      </w:r>
      <w:r w:rsidDel="00000000" w:rsidR="00000000" w:rsidRPr="00000000">
        <w:rPr>
          <w:rFonts w:ascii="Roboto Mono" w:cs="Roboto Mono" w:eastAsia="Roboto Mono" w:hAnsi="Roboto Mono"/>
          <w:color w:val="188038"/>
          <w:rtl w:val="0"/>
        </w:rPr>
        <w:t xml:space="preserve">m_bp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m_fa</w:t>
      </w:r>
      <w:r w:rsidDel="00000000" w:rsidR="00000000" w:rsidRPr="00000000">
        <w:rPr>
          <w:rtl w:val="0"/>
        </w:rPr>
        <w:t xml:space="preserve">) with identical random seeds for weight initialization.</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Fixed Random Feedback Matrix (B):</w:t>
      </w:r>
      <w:r w:rsidDel="00000000" w:rsidR="00000000" w:rsidRPr="00000000">
        <w:rPr>
          <w:rtl w:val="0"/>
        </w:rPr>
        <w:t xml:space="preserve"> Matrix of shape (10 × 128), initialized ~N(0, 0.1), used only by FA.</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Update Rules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Backpropagation (BP):</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Standard forward pass → cross‑entropy loss → </w:t>
      </w:r>
      <w:r w:rsidDel="00000000" w:rsidR="00000000" w:rsidRPr="00000000">
        <w:rPr>
          <w:rFonts w:ascii="Roboto Mono" w:cs="Roboto Mono" w:eastAsia="Roboto Mono" w:hAnsi="Roboto Mono"/>
          <w:color w:val="188038"/>
          <w:rtl w:val="0"/>
        </w:rPr>
        <w:t xml:space="preserve">.backward()</w:t>
      </w:r>
      <w:r w:rsidDel="00000000" w:rsidR="00000000" w:rsidRPr="00000000">
        <w:rPr>
          <w:rFonts w:ascii="Arial Unicode MS" w:cs="Arial Unicode MS" w:eastAsia="Arial Unicode MS" w:hAnsi="Arial Unicode MS"/>
          <w:rtl w:val="0"/>
        </w:rPr>
        <w:t xml:space="preserve"> → optimizer step (Adam, lr=1e‑3).</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Feedback Alignment (FA):</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Forward through first linear → pre‑activation </w:t>
      </w:r>
      <w:r w:rsidDel="00000000" w:rsidR="00000000" w:rsidRPr="00000000">
        <w:rPr>
          <w:rFonts w:ascii="Roboto Mono" w:cs="Roboto Mono" w:eastAsia="Roboto Mono" w:hAnsi="Roboto Mono"/>
          <w:color w:val="188038"/>
          <w:rtl w:val="0"/>
        </w:rPr>
        <w:t xml:space="preserve">h_pre</w:t>
      </w:r>
      <w:r w:rsidDel="00000000" w:rsidR="00000000" w:rsidRPr="00000000">
        <w:rPr>
          <w:rFonts w:ascii="Arial Unicode MS" w:cs="Arial Unicode MS" w:eastAsia="Arial Unicode MS" w:hAnsi="Arial Unicode MS"/>
          <w:rtl w:val="0"/>
        </w:rPr>
        <w:t xml:space="preserve">; apply ReLU → </w:t>
      </w:r>
      <w:r w:rsidDel="00000000" w:rsidR="00000000" w:rsidRPr="00000000">
        <w:rPr>
          <w:rFonts w:ascii="Roboto Mono" w:cs="Roboto Mono" w:eastAsia="Roboto Mono" w:hAnsi="Roboto Mono"/>
          <w:color w:val="188038"/>
          <w:rtl w:val="0"/>
        </w:rPr>
        <w:t xml:space="preserve">h</w:t>
      </w:r>
      <w:r w:rsidDel="00000000" w:rsidR="00000000" w:rsidRPr="00000000">
        <w:rPr>
          <w:rFonts w:ascii="Arial Unicode MS" w:cs="Arial Unicode MS" w:eastAsia="Arial Unicode MS" w:hAnsi="Arial Unicode MS"/>
          <w:rtl w:val="0"/>
        </w:rPr>
        <w:t xml:space="preserve"> → final linear → logits.</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Compute error at output: one‑hot(y) − softmax(logits).</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Back‑project output error through fixed B:</w:t>
        <w:br w:type="textWrapping"/>
        <w:t xml:space="preserve"> ehid=(eout B) ⊙ 1h_pre&gt;0e_{\mathrm{hid}} = (e_{\mathrm{out}}\,B)\,\odot\,\mathbf{1}_{h\_pre&gt;0}ehid​=(eout​B)⊙1h_pre&gt;0​</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Compute weight/bias updates for both layers using local activations and </w:t>
      </w:r>
      <w:r w:rsidDel="00000000" w:rsidR="00000000" w:rsidRPr="00000000">
        <w:rPr>
          <w:rFonts w:ascii="Roboto Mono" w:cs="Roboto Mono" w:eastAsia="Roboto Mono" w:hAnsi="Roboto Mono"/>
          <w:color w:val="188038"/>
          <w:rtl w:val="0"/>
        </w:rPr>
        <w:t xml:space="preserve">e_out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e_hid</w:t>
      </w:r>
      <w:r w:rsidDel="00000000" w:rsidR="00000000" w:rsidRPr="00000000">
        <w:rPr>
          <w:rtl w:val="0"/>
        </w:rPr>
        <w:t xml:space="preserve">.</w:t>
        <w:br w:type="textWrapping"/>
      </w:r>
    </w:p>
    <w:p w:rsidR="00000000" w:rsidDel="00000000" w:rsidP="00000000" w:rsidRDefault="00000000" w:rsidRPr="00000000" w14:paraId="0000001C">
      <w:pPr>
        <w:numPr>
          <w:ilvl w:val="1"/>
          <w:numId w:val="2"/>
        </w:numPr>
        <w:spacing w:after="240" w:before="0" w:beforeAutospacing="0" w:lineRule="auto"/>
        <w:ind w:left="1440" w:hanging="360"/>
      </w:pPr>
      <w:r w:rsidDel="00000000" w:rsidR="00000000" w:rsidRPr="00000000">
        <w:rPr>
          <w:rtl w:val="0"/>
        </w:rPr>
        <w:t xml:space="preserve">Apply updates in place (no autograd).</w:t>
      </w:r>
    </w:p>
    <w:p w:rsidR="00000000" w:rsidDel="00000000" w:rsidP="00000000" w:rsidRDefault="00000000" w:rsidRPr="00000000" w14:paraId="0000001D">
      <w:pPr>
        <w:spacing w:after="240" w:before="240" w:lineRule="auto"/>
        <w:ind w:left="0" w:firstLine="0"/>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Melina part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Training Loop &amp; Metrics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Epochs:</w:t>
      </w:r>
      <w:r w:rsidDel="00000000" w:rsidR="00000000" w:rsidRPr="00000000">
        <w:rPr>
          <w:rtl w:val="0"/>
        </w:rPr>
        <w:t xml:space="preserve"> 5 total.</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Per‑batch:</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Compute BP update on </w:t>
      </w:r>
      <w:r w:rsidDel="00000000" w:rsidR="00000000" w:rsidRPr="00000000">
        <w:rPr>
          <w:rFonts w:ascii="Roboto Mono" w:cs="Roboto Mono" w:eastAsia="Roboto Mono" w:hAnsi="Roboto Mono"/>
          <w:color w:val="188038"/>
          <w:rtl w:val="0"/>
        </w:rPr>
        <w:t xml:space="preserve">m_bp</w:t>
      </w:r>
      <w:r w:rsidDel="00000000" w:rsidR="00000000" w:rsidRPr="00000000">
        <w:rPr>
          <w:rtl w:val="0"/>
        </w:rPr>
        <w:t xml:space="preserve">, record loss &amp; learning rate.</w:t>
        <w:br w:type="textWrapping"/>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Compute FA update on </w:t>
      </w:r>
      <w:r w:rsidDel="00000000" w:rsidR="00000000" w:rsidRPr="00000000">
        <w:rPr>
          <w:rFonts w:ascii="Roboto Mono" w:cs="Roboto Mono" w:eastAsia="Roboto Mono" w:hAnsi="Roboto Mono"/>
          <w:color w:val="188038"/>
          <w:rtl w:val="0"/>
        </w:rPr>
        <w:t xml:space="preserve">m_fa</w:t>
      </w:r>
      <w:r w:rsidDel="00000000" w:rsidR="00000000" w:rsidRPr="00000000">
        <w:rPr>
          <w:rtl w:val="0"/>
        </w:rPr>
        <w:t xml:space="preserve">, record loss.</w:t>
        <w:br w:type="textWrapping"/>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For first 40 batches, accumulate weight‑update vectors for each layer to compute:</w:t>
        <w:br w:type="textWrapping"/>
      </w:r>
    </w:p>
    <w:p w:rsidR="00000000" w:rsidDel="00000000" w:rsidP="00000000" w:rsidRDefault="00000000" w:rsidRPr="00000000" w14:paraId="00000024">
      <w:pPr>
        <w:numPr>
          <w:ilvl w:val="2"/>
          <w:numId w:val="4"/>
        </w:numPr>
        <w:spacing w:after="0" w:afterAutospacing="0" w:before="0" w:beforeAutospacing="0" w:lineRule="auto"/>
        <w:ind w:left="2160" w:hanging="360"/>
      </w:pPr>
      <w:r w:rsidDel="00000000" w:rsidR="00000000" w:rsidRPr="00000000">
        <w:rPr>
          <w:b w:val="1"/>
          <w:bCs w:val="1"/>
          <w:rtl w:val="0"/>
        </w:rPr>
        <w:t xml:space="preserve">Bias (Alignment):</w:t>
      </w:r>
      <w:r w:rsidDel="00000000" w:rsidR="00000000" w:rsidRPr="00000000">
        <w:rPr>
          <w:rtl w:val="0"/>
        </w:rPr>
        <w:t xml:space="preserve"> cosine similarity between mean BP and mean FA updates.</w:t>
        <w:br w:type="textWrapping"/>
      </w:r>
    </w:p>
    <w:p w:rsidR="00000000" w:rsidDel="00000000" w:rsidP="00000000" w:rsidRDefault="00000000" w:rsidRPr="00000000" w14:paraId="00000025">
      <w:pPr>
        <w:numPr>
          <w:ilvl w:val="2"/>
          <w:numId w:val="4"/>
        </w:numPr>
        <w:spacing w:after="0" w:afterAutospacing="0" w:before="0" w:beforeAutospacing="0" w:lineRule="auto"/>
        <w:ind w:left="2160" w:hanging="360"/>
      </w:pPr>
      <w:r w:rsidDel="00000000" w:rsidR="00000000" w:rsidRPr="00000000">
        <w:rPr>
          <w:b w:val="1"/>
          <w:bCs w:val="1"/>
          <w:rtl w:val="0"/>
        </w:rPr>
        <w:t xml:space="preserve">Signal‑to‑Noise Ratio (SNR):</w:t>
      </w:r>
      <w:r w:rsidDel="00000000" w:rsidR="00000000" w:rsidRPr="00000000">
        <w:rPr>
          <w:rFonts w:ascii="Arial Unicode MS" w:cs="Arial Unicode MS" w:eastAsia="Arial Unicode MS" w:hAnsi="Arial Unicode MS"/>
          <w:rtl w:val="0"/>
        </w:rPr>
        <w:t xml:space="preserve"> ∥μ∥2∑Var\frac{\|\mu\|^2}{\sum\mathrm{Var}}∑Var∥μ∥2​ for BP and FA.</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After each epoch:</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Evaluate train/validation loss &amp; accuracy for both models.</w:t>
        <w:br w:type="textWrapping"/>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Compute per‑layer bias &amp; SNR curves.</w:t>
        <w:br w:type="textWrapping"/>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rtl w:val="0"/>
        </w:rPr>
        <w:t xml:space="preserve">Print epoch summary (train/val acc).</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Extended Analyses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Rate of Learning &amp; 90% Threshold:</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Fit linear slope on first three validation losses.</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Determine epoch when val‑accuracy ≥ 0.90.</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Noise Robustness:</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Introduce Gaussian (σ∈[0, 3]) and salt‑&amp;‑pepper (α∈[0, 0.8]) noise to val/test sets.</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Measure accuracy degradation for BP vs FA.</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Bias &amp; Variance on Test Set Updates:</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Repeat bias/SNR computation on first 40 test batches, tracking batch‑wise cosine for error bars.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Latent Representation Similarity:</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At each epoch, compute cosine similarity between hidden‑layer activations of BP vs FA on the same sample batch.</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Weight‐Norm Tracking:</w:t>
        <w:br w:type="textWrapping"/>
      </w:r>
    </w:p>
    <w:p w:rsidR="00000000" w:rsidDel="00000000" w:rsidP="00000000" w:rsidRDefault="00000000" w:rsidRPr="00000000" w14:paraId="00000036">
      <w:pPr>
        <w:numPr>
          <w:ilvl w:val="1"/>
          <w:numId w:val="3"/>
        </w:numPr>
        <w:spacing w:after="240" w:before="0" w:beforeAutospacing="0" w:lineRule="auto"/>
        <w:ind w:left="1440" w:hanging="360"/>
      </w:pPr>
      <w:r w:rsidDel="00000000" w:rsidR="00000000" w:rsidRPr="00000000">
        <w:rPr>
          <w:rtl w:val="0"/>
        </w:rPr>
        <w:t xml:space="preserve">Record Frobenius norm of each layer’s weight matrix per epoch for both BP and FA.</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All plotting covers accuracy/loss, robustness curves, bias/SNR, latent similarity, weight norms, and batch‐level dynamics.</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Yasaman’s note: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used 60k train and 10k test images, normalized them, and split the training set into 40% train and 10% validation. Batch size was 128.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The model: simple feedforward — input → 128 ReLU → 10 outputs. We trained two identical networks: one with standard Backprop, one with Feedback Alignment using a fixed random feedback matrix.</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For Backprop, we used Adam and cross-entropy. For FA, we skipped autograd — used local activations and back-projected error through the fixed matrix to update weights.</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We trained both for 5 epochs. For each batch, we recorded losses, and for the first 40 batches, we computed bias (cosine similarity of updates) and signal-to-noise ratio.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After each epoch, we checked accuracy, weight norms, and how similar BP and FA hidden activations were.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We also tested robustness: added Gaussian and salt-and-pepper noise, and tracked how performance dropped.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In short: we visualized learning speed, noise tolerance, update dynamics, and alignment between BP and FA to explore how biologically-plausible learning holds up.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