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1.png" ContentType="image/png"/>
  <Override PartName="/word/media/rId21.png" ContentType="image/png"/>
  <Override PartName="/word/media/rId32.png" ContentType="image/png"/>
  <Override PartName="/word/media/rId35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6" w:name="aigc行业相关软件价格调研"/>
    <w:p>
      <w:pPr>
        <w:pStyle w:val="Heading2"/>
      </w:pPr>
      <w:r>
        <w:t xml:space="preserve">AIGC行业相关软件价格调研</w:t>
      </w:r>
    </w:p>
    <w:p>
      <w:pPr>
        <w:pStyle w:val="FirstParagraph"/>
      </w:pPr>
      <w:r>
        <w:rPr>
          <w:iCs/>
          <w:i/>
        </w:rPr>
        <w:t xml:space="preserve">written by 温伟航</w:t>
      </w:r>
    </w:p>
    <w:bookmarkStart w:id="20" w:name="调研原由"/>
    <w:p>
      <w:pPr>
        <w:pStyle w:val="Heading3"/>
      </w:pPr>
      <w:r>
        <w:t xml:space="preserve">调研原由</w:t>
      </w:r>
    </w:p>
    <w:p>
      <w:pPr>
        <w:pStyle w:val="FirstParagraph"/>
      </w:pPr>
      <w:r>
        <w:t xml:space="preserve">围绕今年的计划安排，即整合AIGC系统工具，以及用AIGC为内容生产赋能。我们作为AIGC工具的集成者和使用者，对AIGC相关工具价格调研的原由主要基于以下几点：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考量成本效益比</w:t>
      </w:r>
      <w:r>
        <w:t xml:space="preserve">：通过价格调研，我们通过可以比较不同AIGC工具的功能优劣、稳定性和产出质量与其收费标准之间的关系，选择性价比最高的工具。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预算和财务规划</w:t>
      </w:r>
      <w:r>
        <w:t xml:space="preserve">：在规划购买AIGC功能服务时候，过了解市场价格趋势和各服务商的具体收费模式，可以帮助我们精确计算长期使用的总成本，并据此做出合理的预算规划。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用户和系统需求</w:t>
      </w:r>
      <w:r>
        <w:t xml:space="preserve">：从用户角度和AIGC系统工具集整合的角度触发，通过参与或关注价格调研，有利于发现更适合自己的工具，也使得我们可以在保持AIGC功能质量的同时优化支出成本，提高用户满意度和效益比。</w:t>
      </w:r>
    </w:p>
    <w:bookmarkEnd w:id="20"/>
    <w:bookmarkStart w:id="45" w:name="案例分析"/>
    <w:p>
      <w:pPr>
        <w:pStyle w:val="Heading3"/>
      </w:pPr>
      <w:r>
        <w:t xml:space="preserve">案例分析</w:t>
      </w:r>
    </w:p>
    <w:p>
      <w:pPr>
        <w:pStyle w:val="FirstParagraph"/>
      </w:pPr>
      <w:r>
        <w:t xml:space="preserve">我们会以基于短视频生成需求为例。如下图所示：</w:t>
      </w:r>
    </w:p>
    <w:p>
      <w:pPr>
        <w:pStyle w:val="CaptionedFigure"/>
      </w:pPr>
      <w:r>
        <w:drawing>
          <wp:inline>
            <wp:extent cx="5334000" cy="8568972"/>
            <wp:effectExtent b="0" l="0" r="0" t="0"/>
            <wp:docPr descr="image-20240416112258002" title="" id="22" name="Picture"/>
            <a:graphic>
              <a:graphicData uri="http://schemas.openxmlformats.org/drawingml/2006/picture">
                <pic:pic>
                  <pic:nvPicPr>
                    <pic:cNvPr descr="K:\bunkergames\work_doc\img\AIGC%E4%BB%B7%E6%A0%BC%E8%B0%83%E7%A0%94\image-20240416112258002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68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image-20240416112258002</w:t>
      </w:r>
    </w:p>
    <w:p>
      <w:pPr>
        <w:pStyle w:val="BodyText"/>
      </w:pPr>
      <w:r>
        <w:t xml:space="preserve">视频所需的AI功能工作流如下：</w:t>
      </w:r>
    </w:p>
    <w:p>
      <w:pPr>
        <w:pStyle w:val="CaptionedFigure"/>
      </w:pPr>
      <w:r>
        <w:drawing>
          <wp:inline>
            <wp:extent cx="5334000" cy="951575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C:\Users\41014\AppData\Local\Temp\\1726801080075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Start w:id="27" w:name="真实角色生成风格化avatar"/>
    <w:p>
      <w:pPr>
        <w:pStyle w:val="Heading4"/>
      </w:pPr>
      <w:r>
        <w:t xml:space="preserve">真实角色生成风格化Avatar</w:t>
      </w:r>
    </w:p>
    <w:p>
      <w:pPr>
        <w:pStyle w:val="FirstParagraph"/>
      </w:pPr>
      <w:r>
        <w:t xml:space="preserve">现有的为真人图片转为风格化的方案流行且可控的方式有如下：</w:t>
      </w:r>
    </w:p>
    <w:p>
      <w:pPr>
        <w:pStyle w:val="BodyText"/>
      </w:pPr>
      <w:r>
        <w:t xml:space="preserve">利用完全开源且免费的Stable Diffuse，利用收费的国内版Midjourney，利用第三方AIGC工具包平台如：起号等。其中，起号包含众多AI工具。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Stable Diffuse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Midjourney(国内)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起号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可控性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高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高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API接口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有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实现效果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好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可否本地部署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否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本机/云端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本机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云端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云端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价格(以最低档每年)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免费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默认预计出图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无限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5000+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300W</w:t>
            </w:r>
          </w:p>
        </w:tc>
      </w:tr>
    </w:tbl>
    <w:bookmarkEnd w:id="27"/>
    <w:bookmarkStart w:id="28" w:name="文字转音频tts"/>
    <w:p>
      <w:pPr>
        <w:pStyle w:val="Heading4"/>
      </w:pPr>
      <w:r>
        <w:t xml:space="preserve">文字转音频(TTS)</w:t>
      </w:r>
    </w:p>
    <w:p>
      <w:pPr>
        <w:pStyle w:val="FirstParagraph"/>
      </w:pPr>
      <w:r>
        <w:t xml:space="preserve">利用飞桨TTS等，利用国内外的相关的TTS的API进行对接，如：讯飞语音，naturalreaders。或使用第三方整合工具包：如剪映、必剪。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飞桨PP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讯飞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剪映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必剪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naturalreaders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可控性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一般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高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一般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一般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一般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API接口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有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有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实现效果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一般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一般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好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可否本地部署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否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本机/云端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本机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云端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云端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云端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云端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价格(以最低档每年)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免费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免费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110USD = 796RMB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默认时常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无限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每天80次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无限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无限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无限</w:t>
            </w:r>
          </w:p>
        </w:tc>
      </w:tr>
      <w:t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</w:p>
        </w:tc>
      </w:tr>
    </w:tbl>
    <w:bookmarkEnd w:id="28"/>
    <w:bookmarkStart w:id="29" w:name="照片转视频"/>
    <w:p>
      <w:pPr>
        <w:pStyle w:val="Heading4"/>
      </w:pPr>
      <w:r>
        <w:t xml:space="preserve">照片转视频</w:t>
      </w:r>
    </w:p>
    <w:p>
      <w:pPr>
        <w:pStyle w:val="FirstParagraph"/>
      </w:pPr>
      <w:r>
        <w:t xml:space="preserve">利用完全开源且免费的Stable Diffuse，利用国外专业的照片生视频的工具或API如：DID，或者利用国内的相关APP进行制作，如：闪剪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Stable Diffuse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闪剪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可控性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一般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API接口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有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有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实现效果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一般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好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价格(以最低档每年)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56.4USD = 400 RMB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298+269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默认时常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100min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100min</w:t>
            </w:r>
          </w:p>
        </w:tc>
      </w:tr>
    </w:tbl>
    <w:bookmarkEnd w:id="29"/>
    <w:bookmarkStart w:id="30" w:name="剪映编辑"/>
    <w:p>
      <w:pPr>
        <w:pStyle w:val="Heading4"/>
      </w:pPr>
      <w:r>
        <w:t xml:space="preserve">剪映编辑</w:t>
      </w:r>
    </w:p>
    <w:p>
      <w:pPr>
        <w:pStyle w:val="FirstParagraph"/>
      </w:pPr>
      <w:r>
        <w:t xml:space="preserve">利用免费的必剪或者剪映进行编辑，当然VIP版本的剪映拥有非常多实用方便的AIGC的功能。见上文。</w:t>
      </w:r>
    </w:p>
    <w:bookmarkEnd w:id="30"/>
    <w:bookmarkStart w:id="31" w:name="整体价格评估"/>
    <w:p>
      <w:pPr>
        <w:pStyle w:val="Heading4"/>
      </w:pPr>
      <w:r>
        <w:t xml:space="preserve">整体价格评估</w:t>
      </w:r>
    </w:p>
    <w:p>
      <w:pPr>
        <w:pStyle w:val="FirstParagraph"/>
      </w:pPr>
      <w:r>
        <w:t xml:space="preserve">预计每天发布3个视频，每个视频长度为30s，则为：</w:t>
      </w:r>
    </w:p>
    <w:p>
      <w:pPr>
        <w:pStyle w:val="BodyText"/>
      </w:pPr>
      <m:oMathPara>
        <m:oMathParaPr>
          <m:jc m:val="center"/>
        </m:oMathParaPr>
        <m:oMath>
          <m:r>
            <m:t>3</m:t>
          </m:r>
          <m:r>
            <m:rPr>
              <m:sty m:val="p"/>
            </m:rPr>
            <m:t>*</m:t>
          </m:r>
          <m:r>
            <m:t>0.5</m:t>
          </m:r>
          <m:r>
            <m:rPr>
              <m:sty m:val="p"/>
            </m:rPr>
            <m:t>*</m:t>
          </m:r>
          <m:r>
            <m:t>30</m:t>
          </m:r>
          <m:r>
            <m:rPr>
              <m:sty m:val="p"/>
            </m:rPr>
            <m:t>=</m:t>
          </m:r>
          <m:r>
            <m:t>45</m:t>
          </m:r>
          <m:r>
            <m:t>m</m:t>
          </m:r>
          <m:r>
            <m:t>i</m:t>
          </m:r>
          <m:r>
            <m:t>n</m:t>
          </m:r>
        </m:oMath>
      </m:oMathPara>
    </w:p>
    <w:p>
      <w:pPr>
        <w:pStyle w:val="FirstParagraph"/>
      </w:pPr>
      <w:r>
        <w:t xml:space="preserve">故，默认挡位无法支持次价格，需要后续按需购买算力。且算力的价格会根据会员等级和单次购买次数有关。且算力转化为功能能力也是根据厂商进行浮动的。</w:t>
      </w:r>
    </w:p>
    <w:bookmarkEnd w:id="31"/>
    <w:bookmarkStart w:id="44" w:name="附录"/>
    <w:p>
      <w:pPr>
        <w:pStyle w:val="Heading4"/>
      </w:pPr>
      <w:r>
        <w:t xml:space="preserve">附录</w:t>
      </w:r>
    </w:p>
    <w:p>
      <w:pPr>
        <w:pStyle w:val="CaptionedFigure"/>
      </w:pPr>
      <w:r>
        <w:drawing>
          <wp:inline>
            <wp:extent cx="5334000" cy="3960414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K:\bunkergames\work_doc\img\AIGC%E4%BB%B7%E6%A0%BC%E8%B0%83%E7%A0%94\image-2024041615464577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0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302871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K:\bunkergames\work_doc\img\AIGC%E4%BB%B7%E6%A0%BC%E8%B0%83%E7%A0%94\image-20240416161907909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2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6118411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K:\bunkergames\work_doc\img\AIGC%E4%BB%B7%E6%A0%BC%E8%B0%83%E7%A0%94\image-20240416163118640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8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600095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K:\bunkergames\work_doc\img\AIGC%E4%BB%B7%E6%A0%BC%E8%B0%83%E7%A0%94\image-20240415173551540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0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4"/>
    <w:bookmarkEnd w:id="45"/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1" Target="media/rId41.png" /><Relationship Type="http://schemas.openxmlformats.org/officeDocument/2006/relationships/image" Id="rId21" Target="media/rId21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2024-09-20T02:58:01Z</dcterms:created>
  <dcterms:modified xsi:type="dcterms:W3CDTF">2024-09-20T02:58:01Z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