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二、资产负债表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第3步：看总资产，了解公司的实力和成长性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看硬实力{{AssetGrowthPolicy}}</w:t>
            </w:r>
          </w:p>
        </w:tc>
        <w:tc>
          <w:tcPr>
            <w:tcW w:w="179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[zzczzl]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第4步：看负债，了解公司的偿债风险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看资产负债率{{debtRatio}}</w:t>
            </w:r>
          </w:p>
        </w:tc>
        <w:tc>
          <w:tcPr>
            <w:tcW w:w="179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资产负债率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[zcfzl]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看还债风险</w:t>
            </w:r>
          </w:p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{{debt}}</w:t>
            </w:r>
          </w:p>
        </w:tc>
        <w:tc>
          <w:tcPr>
            <w:tcW w:w="119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[hbzj]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交易性金融资产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[jyxjrzc]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其他流动资产里的理财产品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[lccp]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highlight w:val="none"/>
                <w:vertAlign w:val="baseline"/>
                <w:lang w:val="en-US" w:eastAsia="zh-CN"/>
              </w:rPr>
              <w:t>准货币资金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[zhbzj]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B0F0"/>
                <w:sz w:val="18"/>
                <w:szCs w:val="18"/>
                <w:vertAlign w:val="baseline"/>
                <w:lang w:val="en-US" w:eastAsia="zh-CN"/>
              </w:rPr>
              <w:t>有息负债</w:t>
            </w:r>
          </w:p>
        </w:tc>
        <w:tc>
          <w:tcPr>
            <w:tcW w:w="119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[yxfz]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准货币资金 - 有息负债</w:t>
            </w:r>
          </w:p>
        </w:tc>
        <w:tc>
          <w:tcPr>
            <w:tcW w:w="119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[zjy]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第5步：看“应付预收”减“应收预付”的差额，了解公司的竞争优势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看上下游竞争优势</w:t>
            </w:r>
          </w:p>
        </w:tc>
        <w:tc>
          <w:tcPr>
            <w:tcW w:w="1198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应付账款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[yfzk]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应付票据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[yfpj]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合同负债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[htfz]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预收款项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[yskx]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8"/>
                <w:szCs w:val="16"/>
                <w:vertAlign w:val="baseline"/>
                <w:lang w:val="en-US" w:eastAsia="zh-CN"/>
              </w:rPr>
              <w:t>应付预收汇总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[yfyshz]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应收账款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[yszk]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应收票据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[yspj]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合同资产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[htzc]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应收款项融资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[yskxrz]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预付款项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[yfkx]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sz w:val="18"/>
                <w:szCs w:val="16"/>
                <w:vertAlign w:val="baseline"/>
                <w:lang w:val="en-US" w:eastAsia="zh-CN"/>
              </w:rPr>
              <w:t>应收预付汇总</w:t>
            </w:r>
          </w:p>
        </w:tc>
        <w:tc>
          <w:tcPr>
            <w:tcW w:w="1198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[ysyfhz]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应付预收汇总-</w:t>
            </w:r>
          </w:p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应收预付汇总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[yjy]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第6步：看应收账款、合同资产，了解公司的产品竞争力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5B9BD5" w:themeFill="accent1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用应收账款看资产质量</w:t>
            </w:r>
          </w:p>
        </w:tc>
        <w:tc>
          <w:tcPr>
            <w:tcW w:w="1188" w:type="dxa"/>
            <w:shd w:val="clear" w:color="auto" w:fill="5B9BD5" w:themeFill="accent1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应收账款</w:t>
            </w:r>
          </w:p>
        </w:tc>
        <w:tc>
          <w:tcPr>
            <w:tcW w:w="11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[yszk]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合同资产</w:t>
            </w:r>
          </w:p>
        </w:tc>
        <w:tc>
          <w:tcPr>
            <w:tcW w:w="11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[htzc]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18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应收账款占总资产的比例</w:t>
            </w:r>
          </w:p>
        </w:tc>
        <w:tc>
          <w:tcPr>
            <w:tcW w:w="118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[yz]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第7步：看固定资产，了解公司维持竞争力的成本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用固定资产看资产质量</w:t>
            </w:r>
          </w:p>
        </w:tc>
        <w:tc>
          <w:tcPr>
            <w:tcW w:w="1187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固定资产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[gdzc]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在建工程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[zjgc]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工程物资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[gcwz]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固定资产总计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[gdzchz]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1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固定资产占总资产的比例</w:t>
            </w:r>
          </w:p>
        </w:tc>
        <w:tc>
          <w:tcPr>
            <w:tcW w:w="11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[gz]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第8步：看投资类资产，了解公司的主业专注度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看是否专注主业</w:t>
            </w:r>
          </w:p>
        </w:tc>
        <w:tc>
          <w:tcPr>
            <w:tcW w:w="119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长期股权投资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[cqgqtz]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其他权益工具投资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[qtqygjtz]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投资性房地产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[tzxfdc]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投资性资产汇总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[tzxzchz]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投资性资产占总资产的比例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[tz]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第9步：看存货、商誉，了解公司未来业绩爆雷的风险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outlineLvl w:val="1"/>
        <w:rPr>
          <w:rFonts w:hint="eastAsia" w:asciiTheme="minorEastAsia" w:hAnsiTheme="minorEastAsia" w:cstheme="minorEastAsia"/>
          <w:b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</w:p>
    <w:tbl>
      <w:tblPr>
        <w:tblStyle w:val="5"/>
        <w:tblW w:w="2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用应收账款看资产质量</w:t>
            </w:r>
          </w:p>
        </w:tc>
        <w:tc>
          <w:tcPr>
            <w:tcW w:w="122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应收账款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[yszk]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应收账款占总资产的比例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[yz]</w:t>
            </w:r>
          </w:p>
        </w:tc>
      </w:tr>
    </w:tbl>
    <w:p>
      <w:pPr>
        <w:bidi w:val="0"/>
        <w:rPr>
          <w:rFonts w:hint="eastAsia" w:asciiTheme="minorEastAsia" w:hAnsiTheme="minorEastAsia" w:cstheme="minorEastAsia"/>
          <w:b/>
          <w:lang w:eastAsia="zh-CN"/>
        </w:rPr>
      </w:pPr>
    </w:p>
    <w:tbl>
      <w:tblPr>
        <w:tblStyle w:val="5"/>
        <w:tblW w:w="2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用存货看资产质量</w:t>
            </w:r>
          </w:p>
        </w:tc>
        <w:tc>
          <w:tcPr>
            <w:tcW w:w="1223" w:type="dxa"/>
            <w:shd w:val="clear" w:color="auto" w:fill="9CC2E5" w:themeFill="accent1" w:themeFillTint="99"/>
            <w:vAlign w:val="top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存货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[ch]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存货占总资产的比例</w:t>
            </w:r>
          </w:p>
        </w:tc>
        <w:tc>
          <w:tcPr>
            <w:tcW w:w="12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[cz]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看爆雷风险</w:t>
            </w:r>
          </w:p>
        </w:tc>
        <w:tc>
          <w:tcPr>
            <w:tcW w:w="119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商誉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[sy]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商誉占总资产的比例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[sz]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三、利润表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第10步：看营业收入，了解公司的行业地位及成长性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看硬实力{{AssetGrowthPolicy}}</w:t>
            </w:r>
          </w:p>
        </w:tc>
        <w:tc>
          <w:tcPr>
            <w:tcW w:w="179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[vzzc]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总资产增长率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[zzczzl]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0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看造血能力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销售商品、提供劳务收到的现金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[xtx]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营业收入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[yysr]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现金占营业收入的比例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[xy]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第11步：看毛利率，了解公司的产品竞争力及风险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看销售毛利率{{AssetGrowthPolicy}}</w:t>
            </w:r>
          </w:p>
        </w:tc>
        <w:tc>
          <w:tcPr>
            <w:tcW w:w="1791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8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销售毛利率</w:t>
            </w:r>
          </w:p>
        </w:tc>
        <w:tc>
          <w:tcPr>
            <w:tcW w:w="1791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[xsmll]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第12步：看期间费用率，了解公司的成本管控能力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成本管控能力</w:t>
            </w:r>
          </w:p>
        </w:tc>
        <w:tc>
          <w:tcPr>
            <w:tcW w:w="1198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营业收入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[yysr]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毛利率</w:t>
            </w:r>
          </w:p>
        </w:tc>
        <w:tc>
          <w:tcPr>
            <w:tcW w:w="1198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[mll]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销售费用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[xsfy]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  <w:t>管理费用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[glfy]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研发费用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[yffy]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  <w:t>财务费用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[cwfy]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四费合计(财务费用为负不加)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[sf]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费用率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[fyl]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费用率÷毛利率</w:t>
            </w:r>
          </w:p>
        </w:tc>
        <w:tc>
          <w:tcPr>
            <w:tcW w:w="1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[fm]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第13步：看销售费用率，了解公司产品的销售难易度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看产品销售难易程度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营业收入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[yysr]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销售费用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[xsfy]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销售费用率</w:t>
            </w:r>
          </w:p>
        </w:tc>
        <w:tc>
          <w:tcPr>
            <w:tcW w:w="11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[xf]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第14步：看主营利润，了解公司主业的盈利能力及利润质量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3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  <w:t>成本管控能力</w:t>
            </w:r>
          </w:p>
        </w:tc>
        <w:tc>
          <w:tcPr>
            <w:tcW w:w="1265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营业收入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[yysr]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营业成本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[yycb]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税金及附加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[sjjfj]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销售费用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[xsfy]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  <w:t>管理费用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[glfy]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研发费用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[yffy]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  <w:t>财务费用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[cwfy]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18"/>
                <w:szCs w:val="16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四费合计(财务费用为负不加)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[sf]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主营利润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[zylr]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主营利润率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[zylrl]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营业利润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[yylr]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6"/>
                <w:vertAlign w:val="baseline"/>
                <w:lang w:val="en-US" w:eastAsia="zh-CN"/>
              </w:rPr>
              <w:t>主营利润÷营业利润</w:t>
            </w:r>
          </w:p>
        </w:tc>
        <w:tc>
          <w:tcPr>
            <w:tcW w:w="12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[zy]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第15步：看净利润现金含量，了解公司的经营成果及含金量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看净利润现金含量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净利润现金含量</w:t>
            </w:r>
          </w:p>
        </w:tc>
        <w:tc>
          <w:tcPr>
            <w:tcW w:w="1196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[jlrxjhl]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第16步：看归母净利润，了解公司的整体盈利能力及持续性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归母净利润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归母净利润</w:t>
            </w:r>
          </w:p>
        </w:tc>
        <w:tc>
          <w:tcPr>
            <w:tcW w:w="1196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[gmjlr]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ROE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ROE</w:t>
            </w:r>
          </w:p>
        </w:tc>
        <w:tc>
          <w:tcPr>
            <w:tcW w:w="1196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[roe]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四、现金流量表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第17步：看购买固定资产、无形资产和其他长期资产支付的现金，了解公司的增长潜力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通过投资看潜力</w:t>
            </w:r>
          </w:p>
        </w:tc>
        <w:tc>
          <w:tcPr>
            <w:tcW w:w="1097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构建固定资产、无形资产和支付的现金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[gwz]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经营活动产生的现金流量净额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[jyxj]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投资占经营现金流量净额比例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[tjx]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销售商品、提供劳务收到的现金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[xtx]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第18步：看现金分红，了解公司的现金分红情况</w:t>
      </w:r>
      <w:r>
        <w:rPr>
          <w:rFonts w:hint="eastAsia"/>
          <w:lang w:val="en-US" w:eastAsia="zh-CN"/>
        </w:rPr>
        <w:fldChar w:fldCharType="end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看分红情况</w:t>
            </w:r>
          </w:p>
        </w:tc>
        <w:tc>
          <w:tcPr>
            <w:tcW w:w="1097" w:type="dxa"/>
            <w:shd w:val="clear" w:color="auto" w:fill="9CC2E5" w:themeFill="accent1" w:themeFillTint="99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[year]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 w:bidi="zh-CN"/>
              </w:rPr>
              <w:t>分红金额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[fhje]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top"/>
          </w:tcPr>
          <w:p>
            <w:pPr>
              <w:pStyle w:val="2"/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经营活动产生的现金流量净额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[jyxj]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pStyle w:val="2"/>
              <w:numPr>
                <w:ilvl w:val="0"/>
                <w:numId w:val="0"/>
              </w:numPr>
              <w:ind w:right="0" w:right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分红占经营现金流量净额比例</w:t>
            </w:r>
          </w:p>
        </w:tc>
        <w:tc>
          <w:tcPr>
            <w:tcW w:w="10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[fj]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45A00"/>
    <w:rsid w:val="1FEE7109"/>
    <w:rsid w:val="239D507E"/>
    <w:rsid w:val="2461160E"/>
    <w:rsid w:val="2A50275F"/>
    <w:rsid w:val="32425606"/>
    <w:rsid w:val="3667645A"/>
    <w:rsid w:val="377D33D5"/>
    <w:rsid w:val="3AB47333"/>
    <w:rsid w:val="3D60283A"/>
    <w:rsid w:val="3E3E767D"/>
    <w:rsid w:val="4E463021"/>
    <w:rsid w:val="507421BD"/>
    <w:rsid w:val="51DA3C6A"/>
    <w:rsid w:val="6CA659B4"/>
    <w:rsid w:val="6F221496"/>
    <w:rsid w:val="6FDB61AF"/>
    <w:rsid w:val="7DA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 Unicode MS" w:hAnsi="Arial Unicode MS" w:eastAsia="Arial Unicode MS" w:cs="Arial Unicode MS"/>
      <w:sz w:val="24"/>
      <w:szCs w:val="24"/>
      <w:lang w:val="zh-CN" w:eastAsia="zh-CN" w:bidi="zh-CN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2021-08-09T03:49:00Z</dcterms:created>
  <dc:creator>89323</dc:creator>
  <cp:lastModifiedBy>流逝</cp:lastModifiedBy>
  <dcterms:modified xsi:type="dcterms:W3CDTF">2021-08-11T07:31:42Z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58739BAB915F47B492951CF6B6970D83</vt:lpwstr>
  </property>
</Properties>
</file>