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LendCore Pro</w:t>
        <w:br/>
        <w:t>合约设计与 Go API 设计总文档</w:t>
      </w:r>
    </w:p>
    <w:p>
      <w:pPr>
        <w:jc w:val="center"/>
      </w:pPr>
      <w:r>
        <w:rPr>
          <w:sz w:val="22"/>
        </w:rPr>
        <w:t>合并版（去重整理）</w:t>
        <w:br/>
        <w:t>包含：合约设计文档、接口/事件/Storage 明细、Go API 与项目目录骨架</w:t>
      </w:r>
    </w:p>
    <w:p>
      <w:pPr>
        <w:jc w:val="center"/>
      </w:pPr>
      <w:r>
        <w:t>版本：V1.0</w:t>
      </w:r>
    </w:p>
    <w:p/>
    <w:p>
      <w:pPr>
        <w:pStyle w:val="Heading1"/>
      </w:pPr>
      <w:r>
        <w:t>1. 文档目的与边界</w:t>
      </w:r>
    </w:p>
    <w:p>
      <w:r>
        <w:t>本文档将以下三份内容合并为一份统一蓝图，并对重复内容做去重整理：</w:t>
      </w:r>
    </w:p>
    <w:p>
      <w:pPr>
        <w:pStyle w:val="ListBullet"/>
      </w:pPr>
      <w:r>
        <w:t>《LendCore Pro 合约设计文档》</w:t>
      </w:r>
    </w:p>
    <w:p>
      <w:pPr>
        <w:pStyle w:val="ListBullet"/>
      </w:pPr>
      <w:r>
        <w:t>《LendCore Pro：合约接口明细 + 事件明细 + Storage 详细字段表》</w:t>
      </w:r>
    </w:p>
    <w:p>
      <w:pPr>
        <w:pStyle w:val="ListBullet"/>
      </w:pPr>
      <w:r>
        <w:t>《LendCore Pro：合约接口设计 + Go API 设计 + 项目目录骨架》</w:t>
      </w:r>
    </w:p>
    <w:p>
      <w:r>
        <w:t>当前版本按 V1 范围定义：单抵押 + 单借贷市场，但在 Storage、接口和目录结构上预留多市场扩展能力。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</w:rPr>
              <w:t>项目项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/>
              </w:rPr>
              <w:t>V1 范围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抵押资产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</w:rPr>
              <w:t>WETH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借贷资产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</w:rPr>
              <w:t>MockUSDC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核心能力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</w:rPr>
              <w:t>deposit / withdraw / borrow / repay / liquidate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风险能力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</w:rPr>
              <w:t>价格读取、健康因子、清算阈值、暂停机制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后台方向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</w:rPr>
              <w:t>Go 原生 Web3 后端，含 API、indexer、risk-engine、liquidator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暂不纳入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b w:val="0"/>
              </w:rPr>
              <w:t>闪电贷、治理、E-Mode、跨链、代理升级、复杂收益凭证</w:t>
            </w:r>
          </w:p>
        </w:tc>
      </w:tr>
    </w:tbl>
    <w:p/>
    <w:p>
      <w:pPr>
        <w:pStyle w:val="Heading1"/>
      </w:pPr>
      <w:r>
        <w:t>2. 总体架构</w:t>
      </w:r>
    </w:p>
    <w:p>
      <w:r>
        <w:t>LendCore Pro 的协议与服务分为三层：合约层、Go 后端服务层、前端/运维层。用户从前端发起操作，后端负责索引、风险扫描和清算任务，资金与状态最终以链上合约为准。</w:t>
      </w:r>
    </w:p>
    <w:p>
      <w:pPr>
        <w:pStyle w:val="ListBullet"/>
      </w:pPr>
      <w:r>
        <w:t>前端：Next.js + TypeScript + Wagmi + Viem</w:t>
      </w:r>
    </w:p>
    <w:p>
      <w:pPr>
        <w:pStyle w:val="ListBullet"/>
      </w:pPr>
      <w:r>
        <w:t>后端：Go + Gin + PostgreSQL + Redis + go-ethereum</w:t>
      </w:r>
    </w:p>
    <w:p>
      <w:pPr>
        <w:pStyle w:val="ListBullet"/>
      </w:pPr>
      <w:r>
        <w:t>合约：Solidity + Foundry + OpenZeppelin + Chainlink</w:t>
      </w:r>
    </w:p>
    <w:p>
      <w:r>
        <w:rPr>
          <w:b/>
        </w:rPr>
        <w:t>分层关系：</w:t>
      </w:r>
      <w:r>
        <w:t>用户 -&gt; Frontend -&gt; Go API Gateway -&gt; Indexer / Position / Risk / Liquidator -&gt; EVM 合约与 Chainlink 价格源。</w:t>
      </w:r>
    </w:p>
    <w:p>
      <w:pPr>
        <w:pStyle w:val="Heading1"/>
      </w:pPr>
      <w:r>
        <w:t>3. 合约设计总览</w:t>
      </w:r>
    </w:p>
    <w:p>
      <w:r>
        <w:t>合约层遵循四个原则：主入口统一、配置与执行分离、状态与计算分离、事件结构稳定且易于 Go indexer 消费。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</w:rPr>
              <w:t>职责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/>
              </w:rPr>
              <w:t>V1 状态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LendingPool.sol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用户主入口；存款、提取、借款、还款、清算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必须实现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PoolConfigurator.sol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市场初始化、风险参数、开关和暂停控制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必须实现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AccountLogic.sol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总抵押价值、总债务价值、健康因子、借款/提取后模拟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必须实现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LiquidationLogic.sol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可清算判定、最大可清算额度、扣押抵押品计算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必须实现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PriceOracleAdapter.sol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统一价格读取、精度处理、有效性检查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必须实现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InterestRateModel.sol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按利用率输出借款/存款利率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建议实现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ReserveTreasury.sol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</w:rPr>
              <w:t>协议准备金与 reserve factor 收益归集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预留</w:t>
            </w:r>
          </w:p>
        </w:tc>
      </w:tr>
    </w:tbl>
    <w:p/>
    <w:p>
      <w:pPr>
        <w:pStyle w:val="Heading2"/>
      </w:pPr>
      <w:r>
        <w:t>3.1 合约关系</w:t>
      </w:r>
    </w:p>
    <w:p>
      <w:r>
        <w:t>User -&gt; LendingPool -&gt; PoolConfigurator / AccountLogic / LiquidationLogic / PriceOracleAdapter / InterestRateModel</w:t>
      </w:r>
    </w:p>
    <w:p>
      <w:pPr>
        <w:pStyle w:val="Heading1"/>
      </w:pPr>
      <w:r>
        <w:t>4. Storage 设计与详细字段表</w:t>
      </w:r>
    </w:p>
    <w:p>
      <w:r>
        <w:t>精度约定：风险参数采用 BPS=10000；健康因子与利率采用 WAD=1e18；价格统一输出为 1e8；Token 数量按各自 decimals 原样存储。</w:t>
      </w:r>
    </w:p>
    <w:p>
      <w:pPr>
        <w:pStyle w:val="Heading2"/>
      </w:pPr>
      <w:r>
        <w:t>4.1 MarketConfig</w:t>
      </w:r>
    </w:p>
    <w:p>
      <w:r>
        <w:t>用途：描述某个市场的静态配置。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isListed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bool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该资产是否已被协议支持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isCollateralEnabled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bool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是否允许作为抵押品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isBorrowEnabled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bool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是否允许被借出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collateralFactorBps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uint16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最大借款额度参数，例如 7500=75%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liquidationThresholdBps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uint16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清算阈值，例如 8000=80%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liquidationBonusBps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uint16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清算奖励，例如 10500=105%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decimals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uint8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Token 精度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oracle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address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价格源地址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</w:rPr>
              <w:t>interestRateModel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address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利率模型地址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</w:tbl>
    <w:p/>
    <w:p>
      <w:r>
        <w:t>约束：collateralFactorBps &lt;= liquidationThresholdBps &lt;= 10000；liquidationBonusBps &gt;= 10000；oracle 不能为空地址。</w:t>
      </w:r>
    </w:p>
    <w:p>
      <w:pPr>
        <w:pStyle w:val="Heading2"/>
      </w:pPr>
      <w:r>
        <w:t>4.2 MarketState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/>
              </w:rPr>
              <w:t>V1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totalSupply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市场总存入量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totalBorrow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市场总借款量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borrowIndex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借款累计指数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半使用/预留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supplyIndex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存款累计指数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预留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lastAccrualTimestamp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上次结息时间戳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</w:tbl>
    <w:p/>
    <w:p>
      <w:pPr>
        <w:pStyle w:val="Heading2"/>
      </w:pPr>
      <w:r>
        <w:t>4.3 UserReservePosition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字段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/>
              </w:rPr>
              <w:t>V1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supplied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用户在该资产上的存入数量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borrowed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用户在该资产上的借款债务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useAsCollateral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bool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是否将该资产启用为抵押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borrowIndexSnapshot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uint256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债务指数快照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</w:rPr>
              <w:t>预留/半使用</w:t>
            </w:r>
          </w:p>
        </w:tc>
      </w:tr>
    </w:tbl>
    <w:p/>
    <w:p>
      <w:pPr>
        <w:pStyle w:val="Heading2"/>
      </w:pPr>
      <w:r>
        <w:t>4.4 全局状态变量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/>
              </w:rPr>
              <w:t>变量名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s_marketConfigs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mapping(asset =&gt; MarketConfig)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市场静态配置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s_marketStates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mapping(asset =&gt; MarketState)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市场动态状态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s_userPositions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mapping(user =&gt; asset =&gt; UserReservePosition)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用户仓位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s_listedMarkets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address[]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已上线市场列表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s_isListedMarket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mapping(address =&gt; bool)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便于 O(1) 判断市场是否存在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s_configurator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address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配置中心地址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s_treasury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address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协议准备金地址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s_paused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bool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协议是否暂停</w:t>
            </w:r>
          </w:p>
        </w:tc>
      </w:tr>
    </w:tbl>
    <w:p/>
    <w:p>
      <w:r>
        <w:t>推荐常量：BPS=10000，WAD=1e18，MAX_LIQUIDATION_CLOSE_FACTOR_BPS=5000。</w:t>
      </w:r>
    </w:p>
    <w:p>
      <w:pPr>
        <w:pStyle w:val="Heading1"/>
      </w:pPr>
      <w:r>
        <w:t>5. 合约接口设计</w:t>
      </w:r>
    </w:p>
    <w:p>
      <w:r>
        <w:t>所有用户资金操作统一从 LendingPool 进入；管理操作从 PoolConfigurator 进入；风险计算与清算计算为独立 view/logic 模块。</w:t>
      </w:r>
    </w:p>
    <w:p>
      <w:pPr>
        <w:pStyle w:val="Heading2"/>
      </w:pPr>
      <w:r>
        <w:t>5.1 ILendingPool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</w:rPr>
              <w:t>函数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/>
              </w:rPr>
              <w:t>签名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deposit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deposit(address asset, uint256 amount, bool useAsCollateral)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存入资产，并可同步启用为抵押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withdraw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withdraw(address asset, uint256 amount)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提取资产；若影响抵押需校验提取后健康因子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setUseAsCollateral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setUseAsCollateral(address asset, bool enabled)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切换资产是否作为抵押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borrow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borrow(address asset, uint256 amount)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借出资产；校验流动性与借款后健康因子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repay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repay(address asset, uint256 amount) returns (uint256 actualRepaid)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偿还债务；按 min(amount, debt) 结算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liquidate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liquidate(address user, address debtAsset, address collateralAsset, uint256 repayAmount)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对低健康因子账户执行清算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getUserPosition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getUserPosition(address user, address asset)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读取用户单资产仓位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getMarketConfig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getMarketConfig(address asset)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读取市场配置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getMarketState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getMarketState(address asset)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读取市场状态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getListedMarkets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getListedMarkets()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返回已上线市场列表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isPaused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isPaused()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</w:rPr>
              <w:t>返回协议暂停状态</w:t>
            </w:r>
          </w:p>
        </w:tc>
      </w:tr>
    </w:tbl>
    <w:p/>
    <w:p>
      <w:r>
        <w:t>暂停约定：暂停后禁止 deposit / withdraw / borrow / liquidate，建议仍允许 repay。</w:t>
      </w:r>
    </w:p>
    <w:p>
      <w:pPr>
        <w:pStyle w:val="Heading2"/>
      </w:pPr>
      <w:r>
        <w:t>5.2 IPoolConfigurator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/>
              </w:rPr>
              <w:t>函数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/>
              </w:rPr>
              <w:t>签名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initMarket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initMarket(address asset, MarketConfig calldata config)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初始化新市场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setCollateralFactor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setCollateralFactor(address asset, uint16 newFactorBps)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设置抵押因子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setLiquidationThreshold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setLiquidationThreshold(address asset, uint16 newThresholdBps)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设置清算阈值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setLiquidationBonus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setLiquidationBonus(address asset, uint16 newBonusBps)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设置清算奖励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setOracle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setOracle(address asset, address oracle)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设置价格源地址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setInterestRateModel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setInterestRateModel(address asset, address model)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设置利率模型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setBorrowEnabled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setBorrowEnabled(address asset, bool enabled)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借款开关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setCollateralEnabled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setCollateralEnabled(address asset, bool enabled)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抵押开关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pauseProtocol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pauseProtocol()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暂停协议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unpauseProtocol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unpauseProtocol()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恢复协议</w:t>
            </w:r>
          </w:p>
        </w:tc>
      </w:tr>
    </w:tbl>
    <w:p/>
    <w:p>
      <w:pPr>
        <w:pStyle w:val="Heading2"/>
      </w:pPr>
      <w:r>
        <w:t>5.3 IAccountLogic / ILiquidationLogic / IPriceOracleAdapter / IInterestRateModel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核心接口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IAccountLogic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getUserTotalCollateralValue / getUserTotalDebtValue / getUserBorrowCapacity / getHealthFactor / getHealthFactorAfterBorrow / getHealthFactorAfterWithdraw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账户风险计算与模拟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ILiquidationLogic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isLiquidatable / getMaxLiquidatableDebt / calculateSeizeAmount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可清算判定与清算数量计算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IPriceOracleAdapter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getAssetPrice / isPriceValid / getPriceDecimals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价格读取、校验与精度统一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IInterestRateModel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getBorrowRate / getSupplyRate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按利用率输出利率</w:t>
            </w:r>
          </w:p>
        </w:tc>
      </w:tr>
    </w:tbl>
    <w:p/>
    <w:p>
      <w:r>
        <w:t>健康因子建议公式：healthFactor = (调整清算阈值后的总抵押价值 * 1e18) / 总债务价值。</w:t>
      </w:r>
    </w:p>
    <w:p>
      <w:pPr>
        <w:pStyle w:val="Heading1"/>
      </w:pPr>
      <w:r>
        <w:t>6. 事件明细</w:t>
      </w:r>
    </w:p>
    <w:p>
      <w:r>
        <w:t>事件不仅服务前端，也服务 Go indexer、风险引擎与清算机器人，因此字段要稳定、含义清晰、尽量方便幂等消费。推荐事件唯一键为 tx_hash + log_index。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事件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/>
              </w:rPr>
              <w:t>关键字段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Deposit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user, asset, amount, useAsCollateral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更新用户存款仓位、抵押状态、市场总存款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Withdraw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user, asset, amount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更新用户存款仓位、市场总存款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Borrow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user, asset, amount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更新用户债务、市场总借款、触发风险重算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Repay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user, asset, amount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降低债务、刷新健康因子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Liquidate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liquidator, user, debtAsset, collateralAsset, repayAmount, seizedCollateral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记录清算执行结果并修正仓位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UseAsCollateralChanged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user, asset, enabled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抵押启用状态变化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MarketInitialized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新市场上线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CollateralFactorUpdated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oldValue, newValue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风险参数变更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LiquidationThresholdUpdated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oldValue, newValue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风险参数变更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LiquidationBonusUpdated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oldValue, newValue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风险参数变更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OracleUpdated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oldOracle, newOracle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价格源变化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InterestRateModelUpdated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oldModel, newModel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利率模型变化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BorrowEnabledUpdated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enabled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借款开关变化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CollateralEnabledUpdated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asset, enabled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抵押开关变化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ProtocolPaused / ProtocolUnpaused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协议状态变化</w:t>
            </w:r>
          </w:p>
        </w:tc>
      </w:tr>
    </w:tbl>
    <w:p/>
    <w:p>
      <w:pPr>
        <w:pStyle w:val="Heading1"/>
      </w:pPr>
      <w:r>
        <w:t>7. 关键状态流转</w:t>
      </w:r>
    </w:p>
    <w:p>
      <w:pPr>
        <w:pStyle w:val="Heading2"/>
      </w:pPr>
      <w:r>
        <w:t>7.1 存款</w:t>
      </w:r>
    </w:p>
    <w:p>
      <w:r>
        <w:t>approve -&gt; deposit -&gt; transferFrom -&gt; 更新 user.supplied / useAsCollateral -&gt; 更新 market.totalSupply -&gt; 触发 Deposit</w:t>
      </w:r>
    </w:p>
    <w:p>
      <w:pPr>
        <w:pStyle w:val="Heading2"/>
      </w:pPr>
      <w:r>
        <w:t>7.2 借款</w:t>
      </w:r>
    </w:p>
    <w:p>
      <w:r>
        <w:t>borrow -&gt; accrueInterest -&gt; 模拟借款后健康因子 -&gt; 更新 user.borrowed -&gt; 更新 market.totalBorrow -&gt; transferOut -&gt; 触发 Borrow</w:t>
      </w:r>
    </w:p>
    <w:p>
      <w:pPr>
        <w:pStyle w:val="Heading2"/>
      </w:pPr>
      <w:r>
        <w:t>7.3 还款</w:t>
      </w:r>
    </w:p>
    <w:p>
      <w:r>
        <w:t>repay -&gt; accrueInterest -&gt; 计算 actualRepaid -&gt; transferFrom -&gt; 减少 user.borrowed -&gt; 减少 market.totalBorrow -&gt; 触发 Repay</w:t>
      </w:r>
    </w:p>
    <w:p>
      <w:pPr>
        <w:pStyle w:val="Heading2"/>
      </w:pPr>
      <w:r>
        <w:t>7.4 提取</w:t>
      </w:r>
    </w:p>
    <w:p>
      <w:r>
        <w:t>withdraw -&gt; 模拟提取后健康因子 -&gt; 减少 user.supplied -&gt; 减少 market.totalSupply -&gt; transferOut -&gt; 触发 Withdraw</w:t>
      </w:r>
    </w:p>
    <w:p>
      <w:pPr>
        <w:pStyle w:val="Heading2"/>
      </w:pPr>
      <w:r>
        <w:t>7.5 清算</w:t>
      </w:r>
    </w:p>
    <w:p>
      <w:r>
        <w:t>liquidate -&gt; 检查 healthFactor &lt; 1 -&gt; 计算最大可清算债务与 seizedCollateral -&gt; liquidator transferFrom -&gt; 更新债务与抵押 -&gt; transfer 抵押品给清算人 -&gt; 触发 Liquidate</w:t>
      </w:r>
    </w:p>
    <w:p>
      <w:pPr>
        <w:pStyle w:val="Heading1"/>
      </w:pPr>
      <w:r>
        <w:t>8. 安全与约束</w:t>
      </w:r>
    </w:p>
    <w:p>
      <w:pPr>
        <w:pStyle w:val="ListBullet"/>
      </w:pPr>
      <w:r>
        <w:t>涉及资金转移的函数建议统一使用 nonReentrant：deposit、withdraw、borrow、repay、liquidate。</w:t>
      </w:r>
    </w:p>
    <w:p>
      <w:pPr>
        <w:pStyle w:val="ListBullet"/>
      </w:pPr>
      <w:r>
        <w:t>检查顺序遵循“校验 -&gt; 更新状态 -&gt; 外部交互”；但 transferFrom 失败应整体回滚。</w:t>
      </w:r>
    </w:p>
    <w:p>
      <w:pPr>
        <w:pStyle w:val="ListBullet"/>
      </w:pPr>
      <w:r>
        <w:t>价格安全：价格不能为 0、更新时间不能过旧、Oracle 地址不可为空。</w:t>
      </w:r>
    </w:p>
    <w:p>
      <w:pPr>
        <w:pStyle w:val="ListBullet"/>
      </w:pPr>
      <w:r>
        <w:t>参数安全：collateralFactorBps &lt;= liquidationThresholdBps &lt;= 10000；liquidationBonusBps &gt;= 10000。</w:t>
      </w:r>
    </w:p>
    <w:p>
      <w:pPr>
        <w:pStyle w:val="ListBullet"/>
      </w:pPr>
      <w:r>
        <w:t>清算保护：限制单次最大 close factor，例如 50%；禁止清算 healthFactor &gt;= 1 的账户。</w:t>
      </w:r>
    </w:p>
    <w:p>
      <w:pPr>
        <w:pStyle w:val="ListBullet"/>
      </w:pPr>
      <w:r>
        <w:t>管理员不得直接修改用户余额；配置变更必须发事件。</w:t>
      </w:r>
    </w:p>
    <w:p>
      <w:pPr>
        <w:pStyle w:val="Heading1"/>
      </w:pPr>
      <w:r>
        <w:t>9. Go API 设计</w:t>
      </w:r>
    </w:p>
    <w:p>
      <w:r>
        <w:t>后端采用 Web3 原生 Go 技术栈，职责重点放在链上数据索引、风险计算、清算任务执行与聚合查询，而不是传统纯 CRUD。推荐框架：Gin + PostgreSQL + Redis + go-ethereum。</w:t>
      </w:r>
    </w:p>
    <w:p>
      <w:pPr>
        <w:pStyle w:val="Heading2"/>
      </w:pPr>
      <w:r>
        <w:t>9.1 API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api-gateway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对前端提供 HTTP / WebSocket 接口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chain-indexer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历史补扫 + 实时订阅合约事件，解析并落库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position-service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聚合仓位、计算价值、输出健康因子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risk-engine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扫描高风险账户并生成清算任务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liquidation-bot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消费任务、模拟收益、发送链上清算交易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market-cache-service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缓存市场摘要、TVL、利用率、价格等聚合结果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</w:rPr>
              <w:t>admin-service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</w:rPr>
              <w:t>后台配置与监控查询接口</w:t>
            </w:r>
          </w:p>
        </w:tc>
      </w:tr>
    </w:tbl>
    <w:p/>
    <w:p>
      <w:pPr>
        <w:pStyle w:val="Heading2"/>
      </w:pPr>
      <w:r>
        <w:t>9.2 核心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/>
              </w:rPr>
              <w:t>接口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/markets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获取市场列表、利率、利用率、TVL 等摘要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/markets/{asset}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获取单市场详情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/positions/{wallet}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获取用户仓位汇总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/positions/{wallet}/history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获取用户仓位历史快照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/protocol/overview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获取协议总览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/risk/accounts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获取高风险账户排行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/liquidations/tasks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获取清算任务列表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/liquidations/records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获取清算执行记录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/events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获取关键链上事件列表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/admin/overview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后台总览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GET /admin/markets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后台市场参数查询</w:t>
            </w:r>
          </w:p>
        </w:tc>
      </w:tr>
      <w:tr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</w:rPr>
              <w:t>POST /admin/markets/config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b w:val="0"/>
              </w:rPr>
              <w:t>更新市场配置</w:t>
            </w:r>
          </w:p>
        </w:tc>
      </w:tr>
    </w:tbl>
    <w:p/>
    <w:p>
      <w:r>
        <w:t>鉴权建议：管理后台使用 JWT；用户前台可使用钱包签名登录。</w:t>
      </w:r>
    </w:p>
    <w:p>
      <w:pPr>
        <w:pStyle w:val="Heading2"/>
      </w:pPr>
      <w:r>
        <w:t>9.3 Go 后端实现建议</w:t>
      </w:r>
    </w:p>
    <w:p>
      <w:pPr>
        <w:pStyle w:val="ListBullet"/>
      </w:pPr>
      <w:r>
        <w:t>事件监听采用双轨制：FilterLogs 历史补扫 + SubscribeFilterLogs 实时订阅。</w:t>
      </w:r>
    </w:p>
    <w:p>
      <w:pPr>
        <w:pStyle w:val="ListBullet"/>
      </w:pPr>
      <w:r>
        <w:t>事件幂等键建议采用 tx_hash + log_index。</w:t>
      </w:r>
    </w:p>
    <w:p>
      <w:pPr>
        <w:pStyle w:val="ListBullet"/>
      </w:pPr>
      <w:r>
        <w:t>金额与价格统一用 math/big.Int 或高精度 decimal 封装，避免 float64。</w:t>
      </w:r>
    </w:p>
    <w:p>
      <w:pPr>
        <w:pStyle w:val="ListBullet"/>
      </w:pPr>
      <w:r>
        <w:t>清算任务可先用 PostgreSQL task table + Redis 锁实现，再视复杂度演进到消息队列。</w:t>
      </w:r>
    </w:p>
    <w:p>
      <w:pPr>
        <w:pStyle w:val="ListBullet"/>
      </w:pPr>
      <w:r>
        <w:t>go-ethereum 相关调用统一封装在 internal/blockchain 下，避免散落在业务层。</w:t>
      </w:r>
    </w:p>
    <w:p>
      <w:pPr>
        <w:pStyle w:val="Heading1"/>
      </w:pPr>
      <w:r>
        <w:t>10. 项目目录骨架</w:t>
      </w:r>
    </w:p>
    <w:p>
      <w:r>
        <w:t>推荐使用 monorepo，并按服务边界组织目录。</w:t>
      </w:r>
    </w:p>
    <w:p>
      <w:pPr>
        <w:pStyle w:val="Heading2"/>
      </w:pPr>
      <w:r>
        <w:t>10.1 顶层目录</w:t>
      </w:r>
    </w:p>
    <w:p>
      <w:pPr>
        <w:pStyle w:val="IntenseQuote"/>
      </w:pPr>
      <w:r>
        <w:t>lendcore-pro/</w:t>
      </w:r>
    </w:p>
    <w:p>
      <w:pPr>
        <w:pStyle w:val="IntenseQuote"/>
      </w:pPr>
      <w:r>
        <w:t xml:space="preserve">  contracts/</w:t>
      </w:r>
    </w:p>
    <w:p>
      <w:pPr>
        <w:pStyle w:val="IntenseQuote"/>
      </w:pPr>
      <w:r>
        <w:t xml:space="preserve">  backend/</w:t>
      </w:r>
    </w:p>
    <w:p>
      <w:pPr>
        <w:pStyle w:val="IntenseQuote"/>
      </w:pPr>
      <w:r>
        <w:t xml:space="preserve">  frontend/</w:t>
      </w:r>
    </w:p>
    <w:p>
      <w:pPr>
        <w:pStyle w:val="IntenseQuote"/>
      </w:pPr>
      <w:r>
        <w:t xml:space="preserve">  docs/</w:t>
      </w:r>
    </w:p>
    <w:p>
      <w:pPr>
        <w:pStyle w:val="Heading2"/>
      </w:pPr>
      <w:r>
        <w:t>10.2 contracts 目录</w:t>
      </w:r>
    </w:p>
    <w:p>
      <w:pPr>
        <w:pStyle w:val="IntenseQuote"/>
      </w:pPr>
      <w:r>
        <w:t>contracts/</w:t>
      </w:r>
    </w:p>
    <w:p>
      <w:pPr>
        <w:pStyle w:val="IntenseQuote"/>
      </w:pPr>
      <w:r>
        <w:t xml:space="preserve">  core/              # LendingPool.sol, PoolConfigurator.sol</w:t>
      </w:r>
    </w:p>
    <w:p>
      <w:pPr>
        <w:pStyle w:val="IntenseQuote"/>
      </w:pPr>
      <w:r>
        <w:t xml:space="preserve">  logic/             # AccountLogic.sol, LiquidationLogic.sol</w:t>
      </w:r>
    </w:p>
    <w:p>
      <w:pPr>
        <w:pStyle w:val="IntenseQuote"/>
      </w:pPr>
      <w:r>
        <w:t xml:space="preserve">  oracle/            # PriceOracleAdapter.sol</w:t>
      </w:r>
    </w:p>
    <w:p>
      <w:pPr>
        <w:pStyle w:val="IntenseQuote"/>
      </w:pPr>
      <w:r>
        <w:t xml:space="preserve">  interest/          # InterestRateModel.sol</w:t>
      </w:r>
    </w:p>
    <w:p>
      <w:pPr>
        <w:pStyle w:val="IntenseQuote"/>
      </w:pPr>
      <w:r>
        <w:t xml:space="preserve">  interfaces/        # ILendingPool.sol 等接口</w:t>
      </w:r>
    </w:p>
    <w:p>
      <w:pPr>
        <w:pStyle w:val="IntenseQuote"/>
      </w:pPr>
      <w:r>
        <w:t xml:space="preserve">  libraries/         # DataTypes.sol, WadRayMath.sol, PercentageMath.sol</w:t>
      </w:r>
    </w:p>
    <w:p>
      <w:pPr>
        <w:pStyle w:val="IntenseQuote"/>
      </w:pPr>
      <w:r>
        <w:t xml:space="preserve">  mocks/             # MockERC20, MockWETH, MockChainlinkAggregator</w:t>
      </w:r>
    </w:p>
    <w:p>
      <w:pPr>
        <w:pStyle w:val="IntenseQuote"/>
      </w:pPr>
      <w:r>
        <w:t xml:space="preserve">  test/</w:t>
      </w:r>
    </w:p>
    <w:p>
      <w:pPr>
        <w:pStyle w:val="IntenseQuote"/>
      </w:pPr>
      <w:r>
        <w:t xml:space="preserve">  script/</w:t>
      </w:r>
    </w:p>
    <w:p>
      <w:pPr>
        <w:pStyle w:val="Heading2"/>
      </w:pPr>
      <w:r>
        <w:t>10.3 backend 目录</w:t>
      </w:r>
    </w:p>
    <w:p>
      <w:pPr>
        <w:pStyle w:val="IntenseQuote"/>
      </w:pPr>
      <w:r>
        <w:t>backend/</w:t>
      </w:r>
    </w:p>
    <w:p>
      <w:pPr>
        <w:pStyle w:val="IntenseQuote"/>
      </w:pPr>
      <w:r>
        <w:t xml:space="preserve">  cmd/api/</w:t>
      </w:r>
    </w:p>
    <w:p>
      <w:pPr>
        <w:pStyle w:val="IntenseQuote"/>
      </w:pPr>
      <w:r>
        <w:t xml:space="preserve">  cmd/indexer/</w:t>
      </w:r>
    </w:p>
    <w:p>
      <w:pPr>
        <w:pStyle w:val="IntenseQuote"/>
      </w:pPr>
      <w:r>
        <w:t xml:space="preserve">  cmd/risk/</w:t>
      </w:r>
    </w:p>
    <w:p>
      <w:pPr>
        <w:pStyle w:val="IntenseQuote"/>
      </w:pPr>
      <w:r>
        <w:t xml:space="preserve">  cmd/liquidator/</w:t>
      </w:r>
    </w:p>
    <w:p>
      <w:pPr>
        <w:pStyle w:val="IntenseQuote"/>
      </w:pPr>
      <w:r>
        <w:t xml:space="preserve">  internal/app/</w:t>
      </w:r>
    </w:p>
    <w:p>
      <w:pPr>
        <w:pStyle w:val="IntenseQuote"/>
      </w:pPr>
      <w:r>
        <w:t xml:space="preserve">  internal/config/</w:t>
      </w:r>
    </w:p>
    <w:p>
      <w:pPr>
        <w:pStyle w:val="IntenseQuote"/>
      </w:pPr>
      <w:r>
        <w:t xml:space="preserve">  internal/transport/http/</w:t>
      </w:r>
    </w:p>
    <w:p>
      <w:pPr>
        <w:pStyle w:val="IntenseQuote"/>
      </w:pPr>
      <w:r>
        <w:t xml:space="preserve">  internal/transport/ws/</w:t>
      </w:r>
    </w:p>
    <w:p>
      <w:pPr>
        <w:pStyle w:val="IntenseQuote"/>
      </w:pPr>
      <w:r>
        <w:t xml:space="preserve">  internal/domain/market/</w:t>
      </w:r>
    </w:p>
    <w:p>
      <w:pPr>
        <w:pStyle w:val="IntenseQuote"/>
      </w:pPr>
      <w:r>
        <w:t xml:space="preserve">  internal/domain/position/</w:t>
      </w:r>
    </w:p>
    <w:p>
      <w:pPr>
        <w:pStyle w:val="IntenseQuote"/>
      </w:pPr>
      <w:r>
        <w:t xml:space="preserve">  internal/domain/risk/</w:t>
      </w:r>
    </w:p>
    <w:p>
      <w:pPr>
        <w:pStyle w:val="IntenseQuote"/>
      </w:pPr>
      <w:r>
        <w:t xml:space="preserve">  internal/domain/liquidation/</w:t>
      </w:r>
    </w:p>
    <w:p>
      <w:pPr>
        <w:pStyle w:val="IntenseQuote"/>
      </w:pPr>
      <w:r>
        <w:t xml:space="preserve">  internal/repository/postgres/</w:t>
      </w:r>
    </w:p>
    <w:p>
      <w:pPr>
        <w:pStyle w:val="IntenseQuote"/>
      </w:pPr>
      <w:r>
        <w:t xml:space="preserve">  internal/repository/redis/</w:t>
      </w:r>
    </w:p>
    <w:p>
      <w:pPr>
        <w:pStyle w:val="IntenseQuote"/>
      </w:pPr>
      <w:r>
        <w:t xml:space="preserve">  internal/blockchain/client/</w:t>
      </w:r>
    </w:p>
    <w:p>
      <w:pPr>
        <w:pStyle w:val="IntenseQuote"/>
      </w:pPr>
      <w:r>
        <w:t xml:space="preserve">  internal/blockchain/abi/</w:t>
      </w:r>
    </w:p>
    <w:p>
      <w:pPr>
        <w:pStyle w:val="IntenseQuote"/>
      </w:pPr>
      <w:r>
        <w:t xml:space="preserve">  internal/blockchain/listener/</w:t>
      </w:r>
    </w:p>
    <w:p>
      <w:pPr>
        <w:pStyle w:val="IntenseQuote"/>
      </w:pPr>
      <w:r>
        <w:t xml:space="preserve">  internal/blockchain/signer/</w:t>
      </w:r>
    </w:p>
    <w:p>
      <w:pPr>
        <w:pStyle w:val="IntenseQuote"/>
      </w:pPr>
      <w:r>
        <w:t xml:space="preserve">  internal/service/</w:t>
      </w:r>
    </w:p>
    <w:p>
      <w:pPr>
        <w:pStyle w:val="IntenseQuote"/>
      </w:pPr>
      <w:r>
        <w:t xml:space="preserve">  internal/scheduler/</w:t>
      </w:r>
    </w:p>
    <w:p>
      <w:pPr>
        <w:pStyle w:val="IntenseQuote"/>
      </w:pPr>
      <w:r>
        <w:t xml:space="preserve">  internal/queue/</w:t>
      </w:r>
    </w:p>
    <w:p>
      <w:pPr>
        <w:pStyle w:val="IntenseQuote"/>
      </w:pPr>
      <w:r>
        <w:t xml:space="preserve">  internal/model/</w:t>
      </w:r>
    </w:p>
    <w:p>
      <w:pPr>
        <w:pStyle w:val="IntenseQuote"/>
      </w:pPr>
      <w:r>
        <w:t xml:space="preserve">  internal/dto/</w:t>
      </w:r>
    </w:p>
    <w:p>
      <w:pPr>
        <w:pStyle w:val="IntenseQuote"/>
      </w:pPr>
      <w:r>
        <w:t xml:space="preserve">  migrations/</w:t>
      </w:r>
    </w:p>
    <w:p>
      <w:pPr>
        <w:pStyle w:val="IntenseQuote"/>
      </w:pPr>
      <w:r>
        <w:t xml:space="preserve">  docs/</w:t>
      </w:r>
    </w:p>
    <w:p>
      <w:pPr>
        <w:pStyle w:val="Heading2"/>
      </w:pPr>
      <w:r>
        <w:t>10.4 frontend 目录</w:t>
      </w:r>
    </w:p>
    <w:p>
      <w:pPr>
        <w:pStyle w:val="IntenseQuote"/>
      </w:pPr>
      <w:r>
        <w:t>frontend/</w:t>
      </w:r>
    </w:p>
    <w:p>
      <w:pPr>
        <w:pStyle w:val="IntenseQuote"/>
      </w:pPr>
      <w:r>
        <w:t xml:space="preserve">  app/</w:t>
      </w:r>
    </w:p>
    <w:p>
      <w:pPr>
        <w:pStyle w:val="IntenseQuote"/>
      </w:pPr>
      <w:r>
        <w:t xml:space="preserve">  components/</w:t>
      </w:r>
    </w:p>
    <w:p>
      <w:pPr>
        <w:pStyle w:val="IntenseQuote"/>
      </w:pPr>
      <w:r>
        <w:t xml:space="preserve">  hooks/</w:t>
      </w:r>
    </w:p>
    <w:p>
      <w:pPr>
        <w:pStyle w:val="IntenseQuote"/>
      </w:pPr>
      <w:r>
        <w:t xml:space="preserve">  services/</w:t>
      </w:r>
    </w:p>
    <w:p>
      <w:pPr>
        <w:pStyle w:val="IntenseQuote"/>
      </w:pPr>
      <w:r>
        <w:t xml:space="preserve">  store/</w:t>
      </w:r>
    </w:p>
    <w:p>
      <w:pPr>
        <w:pStyle w:val="IntenseQuote"/>
      </w:pPr>
      <w:r>
        <w:t xml:space="preserve">  utils/</w:t>
      </w:r>
    </w:p>
    <w:p>
      <w:pPr>
        <w:pStyle w:val="IntenseQuote"/>
      </w:pPr>
      <w:r>
        <w:t xml:space="preserve">  types/</w:t>
      </w:r>
    </w:p>
    <w:p>
      <w:pPr>
        <w:pStyle w:val="Heading1"/>
      </w:pPr>
      <w:r>
        <w:t>11. V1 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/>
              </w:rPr>
              <w:t>阶段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阶段 1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</w:rPr>
              <w:t>初始化 Foundry 工程；建立 DataTypes、interfaces、LendingPool / PoolConfigurator 骨架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阶段 2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</w:rPr>
              <w:t>实现 deposit / withdraw / borrow / repay 最小闭环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阶段 3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</w:rPr>
              <w:t>接入预言机、AccountLogic、健康因子、LiquidationLogic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阶段 4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</w:rPr>
              <w:t>Go indexer 落库、position-service、risk-engine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阶段 5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</w:rPr>
              <w:t>liquidation-bot、后台查询 API、前台集成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阶段 6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</w:rPr>
              <w:t>测试、Docker 化、部署脚本与文档完善</w:t>
            </w:r>
          </w:p>
        </w:tc>
      </w:tr>
    </w:tbl>
    <w:p/>
    <w:p>
      <w:pPr>
        <w:pStyle w:val="Heading1"/>
      </w:pPr>
      <w:r>
        <w:t>12. 本文档结论</w:t>
      </w:r>
    </w:p>
    <w:p>
      <w:r>
        <w:t>对当前阶段，最重要的是先把合约蓝图、Go API 边界和项目目录定住，再进入代码骨架与 Foundry 工程初始化。这样可以保证合约、Go indexer、数据库和前端交互从一开始就围绕同一组接口与事件工作，减少后期反复重构。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