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 w:val="0"/>
          <w:i w:val="0"/>
        </w:rPr>
        <w:t>LendCore Pro</w:t>
      </w:r>
    </w:p>
    <w:p>
      <w:pPr>
        <w:jc w:val="center"/>
      </w:pPr>
      <w:r>
        <w:rPr>
          <w:b w:val="0"/>
          <w:i/>
        </w:rPr>
        <w:t>完整需求文档、系统架构设计、数据库设计、Go 后端模块设计与合约存储结构设计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vAlign w:val="center"/>
          </w:tcPr>
          <w:p>
            <w:r/>
            <w:r>
              <w:rPr>
                <w:b/>
              </w:rPr>
              <w:t>项目名称</w:t>
            </w:r>
          </w:p>
        </w:tc>
        <w:tc>
          <w:tcPr>
            <w:tcW w:type="dxa" w:w="4816"/>
            <w:vAlign w:val="center"/>
          </w:tcPr>
          <w:p>
            <w:r/>
            <w:r>
              <w:rPr>
                <w:b w:val="0"/>
              </w:rPr>
              <w:t>LendCore Pro</w:t>
            </w:r>
          </w:p>
        </w:tc>
      </w:tr>
      <w:tr>
        <w:tc>
          <w:tcPr>
            <w:tcW w:type="dxa" w:w="4816"/>
            <w:vAlign w:val="center"/>
          </w:tcPr>
          <w:p>
            <w:r/>
            <w:r>
              <w:rPr>
                <w:b/>
              </w:rPr>
              <w:t>项目类型</w:t>
            </w:r>
          </w:p>
        </w:tc>
        <w:tc>
          <w:tcPr>
            <w:tcW w:type="dxa" w:w="4816"/>
            <w:vAlign w:val="center"/>
          </w:tcPr>
          <w:p>
            <w:r/>
            <w:r>
              <w:rPr>
                <w:b w:val="0"/>
              </w:rPr>
              <w:t>EVM DeFi 借贷协议（中大型工程化项目）</w:t>
            </w:r>
          </w:p>
        </w:tc>
      </w:tr>
      <w:tr>
        <w:tc>
          <w:tcPr>
            <w:tcW w:type="dxa" w:w="4816"/>
            <w:vAlign w:val="center"/>
          </w:tcPr>
          <w:p>
            <w:r/>
            <w:r>
              <w:rPr>
                <w:b/>
              </w:rPr>
              <w:t>后端技术栈</w:t>
            </w:r>
          </w:p>
        </w:tc>
        <w:tc>
          <w:tcPr>
            <w:tcW w:type="dxa" w:w="4816"/>
            <w:vAlign w:val="center"/>
          </w:tcPr>
          <w:p>
            <w:r/>
            <w:r>
              <w:rPr>
                <w:b w:val="0"/>
              </w:rPr>
              <w:t>Go + Gin + go-ethereum + PostgreSQL + Redis</w:t>
            </w:r>
          </w:p>
        </w:tc>
      </w:tr>
      <w:tr>
        <w:tc>
          <w:tcPr>
            <w:tcW w:type="dxa" w:w="4816"/>
            <w:vAlign w:val="center"/>
          </w:tcPr>
          <w:p>
            <w:r/>
            <w:r>
              <w:rPr>
                <w:b/>
              </w:rPr>
              <w:t>文档用途</w:t>
            </w:r>
          </w:p>
        </w:tc>
        <w:tc>
          <w:tcPr>
            <w:tcW w:type="dxa" w:w="4816"/>
            <w:vAlign w:val="center"/>
          </w:tcPr>
          <w:p>
            <w:r/>
            <w:r>
              <w:rPr>
                <w:b w:val="0"/>
              </w:rPr>
              <w:t>项目立项、系统设计、后续开发拆解与作品集沉淀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 w:val="0"/>
          <w:i w:val="0"/>
        </w:rPr>
        <w:t>1. 项目概述</w:t>
      </w:r>
    </w:p>
    <w:p>
      <w:pPr>
        <w:pStyle w:val="Heading2"/>
      </w:pPr>
      <w:r>
        <w:rPr>
          <w:b w:val="0"/>
          <w:i w:val="0"/>
        </w:rPr>
        <w:t>1.1 项目定位</w:t>
      </w:r>
    </w:p>
    <w:p>
      <w:r>
        <w:rPr>
          <w:b w:val="0"/>
          <w:i w:val="0"/>
        </w:rPr>
        <w:t>LendCore Pro 是一个面向 EVM 生态的超额抵押借贷协议系统，支持抵押存入、借款、还款、提取、利息累计、健康因子、清算、链下风险扫描、自动清算机器人、用户前台和管理后台。项目目标不是做演示级 demo，而是构建一个具备真实协议抽象和工程化边界的完整系统。</w:t>
      </w:r>
    </w:p>
    <w:p>
      <w:pPr>
        <w:pStyle w:val="Heading2"/>
      </w:pPr>
      <w:r>
        <w:rPr>
          <w:b w:val="0"/>
          <w:i w:val="0"/>
        </w:rPr>
        <w:t>1.2 项目目标</w:t>
      </w:r>
    </w:p>
    <w:p>
      <w:pPr>
        <w:pStyle w:val="ListBullet"/>
      </w:pPr>
      <w:r>
        <w:t>从业务上完整覆盖借贷协议的核心闭环：抵押、借款、计息、风控、清算。</w:t>
      </w:r>
    </w:p>
    <w:p>
      <w:pPr>
        <w:pStyle w:val="ListBullet"/>
      </w:pPr>
      <w:r>
        <w:t>从工程上形成链上合约、链下索引、风险引擎、清算机器人、前后端展示的完整体系。</w:t>
      </w:r>
    </w:p>
    <w:p>
      <w:pPr>
        <w:pStyle w:val="ListBullet"/>
      </w:pPr>
      <w:r>
        <w:t>从能力上沉淀为可用于简历、面试、系统设计讲解的主项目。</w:t>
      </w:r>
    </w:p>
    <w:p>
      <w:pPr>
        <w:pStyle w:val="ListBullet"/>
      </w:pPr>
      <w:r>
        <w:t>为后续扩展到多资产、多市场、治理和协议收入模块预留结构。</w:t>
      </w:r>
    </w:p>
    <w:p>
      <w:pPr>
        <w:pStyle w:val="Heading2"/>
      </w:pPr>
      <w:r>
        <w:rPr>
          <w:b w:val="0"/>
          <w:i w:val="0"/>
        </w:rPr>
        <w:t>1.3 非目标</w:t>
      </w:r>
    </w:p>
    <w:p>
      <w:pPr>
        <w:pStyle w:val="ListBullet"/>
      </w:pPr>
      <w:r>
        <w:t>当前主版本不包含去中心化治理投票、跨链借贷、闪电贷、保险基金、复杂隔离池模式。</w:t>
      </w:r>
    </w:p>
    <w:p>
      <w:pPr>
        <w:pStyle w:val="ListBullet"/>
      </w:pPr>
      <w:r>
        <w:t>当前主版本不追求生产级多签治理流程与正式审计交付，但会按生产级思路设计边界。</w:t>
      </w:r>
    </w:p>
    <w:p>
      <w:pPr>
        <w:pStyle w:val="Heading1"/>
      </w:pPr>
      <w:r>
        <w:rPr>
          <w:b w:val="0"/>
          <w:i w:val="0"/>
        </w:rPr>
        <w:t>2. 业务背景与核心业务逻辑</w:t>
      </w:r>
    </w:p>
    <w:p>
      <w:pPr>
        <w:pStyle w:val="Heading2"/>
      </w:pPr>
      <w:r>
        <w:rPr>
          <w:b w:val="0"/>
          <w:i w:val="0"/>
        </w:rPr>
        <w:t>2.1 协议本质</w:t>
      </w:r>
    </w:p>
    <w:p>
      <w:r>
        <w:rPr>
          <w:b w:val="0"/>
          <w:i w:val="0"/>
        </w:rPr>
        <w:t>借贷协议本质上是一个“资金池 + 程序化风险控制系统”。存款人将资产存入协议池获取收益；借款人提供抵押品并借出另一种资产；协议依赖价格预言机、抵押因子、清算阈值、利率模型和清算机制保持偿付能力。</w:t>
      </w:r>
    </w:p>
    <w:p>
      <w:pPr>
        <w:pStyle w:val="Heading2"/>
      </w:pPr>
      <w:r>
        <w:rPr>
          <w:b w:val="0"/>
          <w:i w:val="0"/>
        </w:rPr>
        <w:t>2.2 参与方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vAlign w:val="center"/>
          </w:tcPr>
          <w:p>
            <w:r/>
            <w:r>
              <w:rPr>
                <w:b/>
              </w:rPr>
              <w:t>角色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/>
              </w:rPr>
              <w:t>职责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/>
              </w:rPr>
              <w:t>系统关注点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存款人 / 流动性提供者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向池子提供可借资产，赚取利息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资产托管、利息分配、池子利用率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借款人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抵押资产并借出其他资产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抵押价值、债务价值、健康因子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清算人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在高风险仓位下偿还债务并换取折价抵押品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利润判断、执行速度、链上交易可靠性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协议管理员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配置市场参数、利率模型和预言机，并处理紧急暂停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权限隔离、参数审计、风控治理</w:t>
            </w:r>
          </w:p>
        </w:tc>
      </w:tr>
    </w:tbl>
    <w:p>
      <w:pPr>
        <w:pStyle w:val="Heading2"/>
      </w:pPr>
      <w:r>
        <w:rPr>
          <w:b w:val="0"/>
          <w:i w:val="0"/>
        </w:rPr>
        <w:t>2.3 核心业务变量</w:t>
      </w:r>
    </w:p>
    <w:p>
      <w:pPr>
        <w:pStyle w:val="ListBullet"/>
      </w:pPr>
      <w:r>
        <w:t>抵押品价值：用户抵押资产按预言机价格折算后的总价值。</w:t>
      </w:r>
    </w:p>
    <w:p>
      <w:pPr>
        <w:pStyle w:val="ListBullet"/>
      </w:pPr>
      <w:r>
        <w:t>债务价值：用户已借出资产按预言机价格折算后的总价值。</w:t>
      </w:r>
    </w:p>
    <w:p>
      <w:pPr>
        <w:pStyle w:val="ListBullet"/>
      </w:pPr>
      <w:r>
        <w:t>抵押因子（LTV 相关）：决定用户理论最大可借额度。</w:t>
      </w:r>
    </w:p>
    <w:p>
      <w:pPr>
        <w:pStyle w:val="ListBullet"/>
      </w:pPr>
      <w:r>
        <w:t>清算阈值：仓位低于该风险边界后可被清算。</w:t>
      </w:r>
    </w:p>
    <w:p>
      <w:pPr>
        <w:pStyle w:val="ListBullet"/>
      </w:pPr>
      <w:r>
        <w:t>健康因子：综合衡量仓位安全性的关键指标；大于 1 安全，等于 1 临界，小于 1 可清算。</w:t>
      </w:r>
    </w:p>
    <w:p>
      <w:pPr>
        <w:pStyle w:val="Heading2"/>
      </w:pPr>
      <w:r>
        <w:rPr>
          <w:b w:val="0"/>
          <w:i w:val="0"/>
        </w:rPr>
        <w:t>2.4 核心风险</w:t>
      </w:r>
    </w:p>
    <w:p>
      <w:pPr>
        <w:pStyle w:val="ListBullet"/>
      </w:pPr>
      <w:r>
        <w:t>抵押品价格快速下跌，导致抵押物不足以覆盖债务。</w:t>
      </w:r>
    </w:p>
    <w:p>
      <w:pPr>
        <w:pStyle w:val="ListBullet"/>
      </w:pPr>
      <w:r>
        <w:t>预言机异常或价格过期，导致风险评估失真。</w:t>
      </w:r>
    </w:p>
    <w:p>
      <w:pPr>
        <w:pStyle w:val="ListBullet"/>
      </w:pPr>
      <w:r>
        <w:t>池子流动性不足，导致借款成功率或提取能力下降。</w:t>
      </w:r>
    </w:p>
    <w:p>
      <w:pPr>
        <w:pStyle w:val="ListBullet"/>
      </w:pPr>
      <w:r>
        <w:t>清算不及时，产生坏账。</w:t>
      </w:r>
    </w:p>
    <w:p>
      <w:pPr>
        <w:pStyle w:val="ListBullet"/>
      </w:pPr>
      <w:r>
        <w:t>合约漏洞、权限滥用、精度错误造成协议损失。</w:t>
      </w:r>
    </w:p>
    <w:p>
      <w:pPr>
        <w:pStyle w:val="Heading1"/>
      </w:pPr>
      <w:r>
        <w:rPr>
          <w:b w:val="0"/>
          <w:i w:val="0"/>
        </w:rPr>
        <w:t>3. 功能范围与核心用例</w:t>
      </w:r>
    </w:p>
    <w:p>
      <w:pPr>
        <w:pStyle w:val="Heading2"/>
      </w:pPr>
      <w:r>
        <w:rPr>
          <w:b w:val="0"/>
          <w:i w:val="0"/>
        </w:rPr>
        <w:t>3.1 当前版本范围</w:t>
      </w:r>
    </w:p>
    <w:p>
      <w:pPr>
        <w:pStyle w:val="ListBullet"/>
      </w:pPr>
      <w:r>
        <w:t>单抵押资产 ETH（或 WETH）与单借贷资产 MockUSDC 起步。</w:t>
      </w:r>
    </w:p>
    <w:p>
      <w:pPr>
        <w:pStyle w:val="ListBullet"/>
      </w:pPr>
      <w:r>
        <w:t>支持存入抵押品、借款、还款、提取、健康因子计算、基础清算。</w:t>
      </w:r>
    </w:p>
    <w:p>
      <w:pPr>
        <w:pStyle w:val="ListBullet"/>
      </w:pPr>
      <w:r>
        <w:t>接入 Chainlink 类价格源，形成完整风控闭环。</w:t>
      </w:r>
    </w:p>
    <w:p>
      <w:pPr>
        <w:pStyle w:val="ListBullet"/>
      </w:pPr>
      <w:r>
        <w:t>构建 Go 链下系统：事件索引、仓位计算、风险扫描、清算机器人、API 服务。</w:t>
      </w:r>
    </w:p>
    <w:p>
      <w:pPr>
        <w:pStyle w:val="ListBullet"/>
      </w:pPr>
      <w:r>
        <w:t>提供用户前台与管理后台。</w:t>
      </w:r>
    </w:p>
    <w:p>
      <w:pPr>
        <w:pStyle w:val="Heading2"/>
      </w:pPr>
      <w:r>
        <w:rPr>
          <w:b w:val="0"/>
          <w:i w:val="0"/>
        </w:rPr>
        <w:t>3.2 典型用户流程</w:t>
      </w:r>
    </w:p>
    <w:p>
      <w:pPr>
        <w:pStyle w:val="Heading3"/>
      </w:pPr>
      <w:r>
        <w:rPr>
          <w:b w:val="0"/>
          <w:i w:val="0"/>
        </w:rPr>
        <w:t>存入抵押品</w:t>
      </w:r>
    </w:p>
    <w:p>
      <w:pPr>
        <w:pStyle w:val="ListBullet"/>
        <w:ind w:left="420"/>
      </w:pPr>
      <w:r>
        <w:t>连接钱包并选择抵押资产。</w:t>
      </w:r>
    </w:p>
    <w:p>
      <w:pPr>
        <w:pStyle w:val="ListBullet"/>
        <w:ind w:left="420"/>
      </w:pPr>
      <w:r>
        <w:t>执行 approve。</w:t>
      </w:r>
    </w:p>
    <w:p>
      <w:pPr>
        <w:pStyle w:val="ListBullet"/>
        <w:ind w:left="420"/>
      </w:pPr>
      <w:r>
        <w:t>调用 depositCollateral。</w:t>
      </w:r>
    </w:p>
    <w:p>
      <w:pPr>
        <w:pStyle w:val="ListBullet"/>
        <w:ind w:left="420"/>
      </w:pPr>
      <w:r>
        <w:t>链上成功后索引器同步事件并更新仓位。</w:t>
      </w:r>
    </w:p>
    <w:p>
      <w:pPr>
        <w:pStyle w:val="Heading3"/>
      </w:pPr>
      <w:r>
        <w:rPr>
          <w:b w:val="0"/>
          <w:i w:val="0"/>
        </w:rPr>
        <w:t>借款</w:t>
      </w:r>
    </w:p>
    <w:p>
      <w:pPr>
        <w:pStyle w:val="ListBullet"/>
        <w:ind w:left="420"/>
      </w:pPr>
      <w:r>
        <w:t>读取预言机价格并计算最大可借额度。</w:t>
      </w:r>
    </w:p>
    <w:p>
      <w:pPr>
        <w:pStyle w:val="ListBullet"/>
        <w:ind w:left="420"/>
      </w:pPr>
      <w:r>
        <w:t>输入借款金额。</w:t>
      </w:r>
    </w:p>
    <w:p>
      <w:pPr>
        <w:pStyle w:val="ListBullet"/>
        <w:ind w:left="420"/>
      </w:pPr>
      <w:r>
        <w:t>校验借款后健康因子。</w:t>
      </w:r>
    </w:p>
    <w:p>
      <w:pPr>
        <w:pStyle w:val="ListBullet"/>
        <w:ind w:left="420"/>
      </w:pPr>
      <w:r>
        <w:t>成功后更新债务状态。</w:t>
      </w:r>
    </w:p>
    <w:p>
      <w:pPr>
        <w:pStyle w:val="Heading3"/>
      </w:pPr>
      <w:r>
        <w:rPr>
          <w:b w:val="0"/>
          <w:i w:val="0"/>
        </w:rPr>
        <w:t>还款</w:t>
      </w:r>
    </w:p>
    <w:p>
      <w:pPr>
        <w:pStyle w:val="ListBullet"/>
        <w:ind w:left="420"/>
      </w:pPr>
      <w:r>
        <w:t>approve 借款资产。</w:t>
      </w:r>
    </w:p>
    <w:p>
      <w:pPr>
        <w:pStyle w:val="ListBullet"/>
        <w:ind w:left="420"/>
      </w:pPr>
      <w:r>
        <w:t>调用 repay。</w:t>
      </w:r>
    </w:p>
    <w:p>
      <w:pPr>
        <w:pStyle w:val="ListBullet"/>
        <w:ind w:left="420"/>
      </w:pPr>
      <w:r>
        <w:t>更新债务余额与健康因子。</w:t>
      </w:r>
    </w:p>
    <w:p>
      <w:pPr>
        <w:pStyle w:val="Heading3"/>
      </w:pPr>
      <w:r>
        <w:rPr>
          <w:b w:val="0"/>
          <w:i w:val="0"/>
        </w:rPr>
        <w:t>提取抵押品</w:t>
      </w:r>
    </w:p>
    <w:p>
      <w:pPr>
        <w:pStyle w:val="ListBullet"/>
        <w:ind w:left="420"/>
      </w:pPr>
      <w:r>
        <w:t>模拟提取后的健康因子。</w:t>
      </w:r>
    </w:p>
    <w:p>
      <w:pPr>
        <w:pStyle w:val="ListBullet"/>
        <w:ind w:left="420"/>
      </w:pPr>
      <w:r>
        <w:t>若仍安全则允许提取。</w:t>
      </w:r>
    </w:p>
    <w:p>
      <w:pPr>
        <w:pStyle w:val="ListBullet"/>
        <w:ind w:left="420"/>
      </w:pPr>
      <w:r>
        <w:t>更新抵押记录与可借额度。</w:t>
      </w:r>
    </w:p>
    <w:p>
      <w:pPr>
        <w:pStyle w:val="Heading3"/>
      </w:pPr>
      <w:r>
        <w:rPr>
          <w:b w:val="0"/>
          <w:i w:val="0"/>
        </w:rPr>
        <w:t>清算</w:t>
      </w:r>
    </w:p>
    <w:p>
      <w:pPr>
        <w:pStyle w:val="ListBullet"/>
        <w:ind w:left="420"/>
      </w:pPr>
      <w:r>
        <w:t>风险引擎识别健康因子低于阈值的账户。</w:t>
      </w:r>
    </w:p>
    <w:p>
      <w:pPr>
        <w:pStyle w:val="ListBullet"/>
        <w:ind w:left="420"/>
      </w:pPr>
      <w:r>
        <w:t>生成清算任务。</w:t>
      </w:r>
    </w:p>
    <w:p>
      <w:pPr>
        <w:pStyle w:val="ListBullet"/>
        <w:ind w:left="420"/>
      </w:pPr>
      <w:r>
        <w:t>清算机器人评估收益后发起链上清算。</w:t>
      </w:r>
    </w:p>
    <w:p>
      <w:pPr>
        <w:pStyle w:val="ListBullet"/>
        <w:ind w:left="420"/>
      </w:pPr>
      <w:r>
        <w:t>记录清算结果与仓位变化。</w:t>
      </w:r>
    </w:p>
    <w:p>
      <w:pPr>
        <w:pStyle w:val="Heading1"/>
      </w:pPr>
      <w:r>
        <w:rPr>
          <w:b w:val="0"/>
          <w:i w:val="0"/>
        </w:rPr>
        <w:t>4. 系统架构设计</w:t>
      </w:r>
    </w:p>
    <w:p>
      <w:pPr>
        <w:pStyle w:val="Heading2"/>
      </w:pPr>
      <w:r>
        <w:rPr>
          <w:b w:val="0"/>
          <w:i w:val="0"/>
        </w:rPr>
        <w:t>4.1 总体架构</w:t>
      </w:r>
    </w:p>
    <w:p>
      <w:r>
        <w:rPr>
          <w:b w:val="0"/>
          <w:i w:val="0"/>
        </w:rPr>
        <w:t>系统采用“链上合约 + Go 链下服务 + 前端展示”的三层结构。链上合约负责资金安全和核心状态；Go 后端负责索引、聚合、风控和自动执行；前端负责用户交互和运营管理。</w:t>
      </w:r>
    </w:p>
    <w:p>
      <w:pPr>
        <w:pStyle w:val="CodeBlock"/>
      </w:pPr>
      <w:r>
        <w:t>[ Next.js Frontend ]</w:t>
        <w:br/>
        <w:t xml:space="preserve">        |</w:t>
        <w:br/>
        <w:t xml:space="preserve">        v</w:t>
        <w:br/>
        <w:t>[ Gin API Gateway ]</w:t>
        <w:br/>
        <w:t xml:space="preserve">   |         |         |</w:t>
        <w:br/>
        <w:t xml:space="preserve">   |         |         +--&gt; [ Redis Cache ]</w:t>
        <w:br/>
        <w:t xml:space="preserve">   |         |</w:t>
        <w:br/>
        <w:t xml:space="preserve">   |         +------------&gt; [ PostgreSQL ]</w:t>
        <w:br/>
        <w:t xml:space="preserve">   |</w:t>
        <w:br/>
        <w:t xml:space="preserve">   +--&gt; [ Position Service ]</w:t>
        <w:br/>
        <w:t xml:space="preserve">   +--&gt; [ Market Service ]</w:t>
        <w:br/>
        <w:t xml:space="preserve">   +--&gt; [ Admin Service ]</w:t>
        <w:br/>
        <w:t xml:space="preserve">   |</w:t>
        <w:br/>
        <w:t xml:space="preserve">   +--&gt; [ WebSocket Push ]</w:t>
        <w:br/>
        <w:br/>
        <w:t>[ Chain Indexer ] ----&gt; [ PostgreSQL ]</w:t>
        <w:br/>
        <w:t xml:space="preserve">       |</w:t>
        <w:br/>
        <w:t xml:space="preserve">       +----&gt; [ Ethereum RPC / WS ]</w:t>
        <w:br/>
        <w:t xml:space="preserve">       |</w:t>
        <w:br/>
        <w:t xml:space="preserve">       +----&gt; [ Redis Invalidate ]</w:t>
        <w:br/>
        <w:br/>
        <w:t>[ Risk Engine ] ----&gt; [ liquidation_tasks ]</w:t>
        <w:br/>
        <w:t xml:space="preserve">       |</w:t>
        <w:br/>
        <w:t xml:space="preserve">       +----&gt; [ risk_alerts ]</w:t>
        <w:br/>
        <w:br/>
        <w:t>[ Liquidation Bot ] ----&gt; [ Ethereum RPC ]</w:t>
        <w:br/>
        <w:t xml:space="preserve">       |</w:t>
        <w:br/>
        <w:t xml:space="preserve">       +----&gt; [ liquidation_records ]</w:t>
        <w:br/>
        <w:br/>
        <w:t>[ Smart Contracts ]</w:t>
        <w:br/>
        <w:t xml:space="preserve">   - LendingPool</w:t>
        <w:br/>
        <w:t xml:space="preserve">   - PoolConfigurator</w:t>
        <w:br/>
        <w:t xml:space="preserve">   - OracleAdapter</w:t>
        <w:br/>
        <w:t xml:space="preserve">   - InterestRateModel</w:t>
      </w:r>
    </w:p>
    <w:p>
      <w:pPr>
        <w:pStyle w:val="Heading2"/>
      </w:pPr>
      <w:r>
        <w:rPr>
          <w:b w:val="0"/>
          <w:i w:val="0"/>
        </w:rPr>
        <w:t>4.2 分层职责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vAlign w:val="center"/>
          </w:tcPr>
          <w:p>
            <w:r/>
            <w:r>
              <w:rPr>
                <w:b/>
              </w:rPr>
              <w:t>层次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/>
              </w:rPr>
              <w:t>主要职责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/>
              </w:rPr>
              <w:t>代表模块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合约层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资金托管、借贷状态、利率累计、健康因子约束、清算执行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LendingPool、Configurator、OracleAdapter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服务层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事件索引、仓位聚合、风险扫描、自动清算、缓存、后台管理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Indexer、RiskEngine、LiquidationBot、API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展示层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用户操作、市场展示、后台管理、实时通知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Next.js 前台、管理后台、WebSocket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基础设施层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数据库、缓存、调度、节点连接、日志与部署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PostgreSQL、Redis、Docker、RPC</w:t>
            </w:r>
          </w:p>
        </w:tc>
      </w:tr>
    </w:tbl>
    <w:p>
      <w:pPr>
        <w:pStyle w:val="Heading2"/>
      </w:pPr>
      <w:r>
        <w:rPr>
          <w:b w:val="0"/>
          <w:i w:val="0"/>
        </w:rPr>
        <w:t>4.3 关键设计原则</w:t>
      </w:r>
    </w:p>
    <w:p>
      <w:pPr>
        <w:pStyle w:val="ListBullet"/>
      </w:pPr>
      <w:r>
        <w:t>状态逻辑与计算逻辑分离：主合约负责状态写入，逻辑模块负责健康因子、清算量和利率计算。</w:t>
      </w:r>
    </w:p>
    <w:p>
      <w:pPr>
        <w:pStyle w:val="ListBullet"/>
      </w:pPr>
      <w:r>
        <w:t>链上事件驱动链下视图：链下数据库是查询视图，链上状态是最终事实来源。</w:t>
      </w:r>
    </w:p>
    <w:p>
      <w:pPr>
        <w:pStyle w:val="ListBullet"/>
      </w:pPr>
      <w:r>
        <w:t>链下服务模块化：索引器、风险引擎、清算机器人独立拆分，便于扩展和部署。</w:t>
      </w:r>
    </w:p>
    <w:p>
      <w:pPr>
        <w:pStyle w:val="ListBullet"/>
      </w:pPr>
      <w:r>
        <w:t>全链路幂等：事件处理以 tx_hash + log_index 作为唯一键，防止重复消费。</w:t>
      </w:r>
    </w:p>
    <w:p>
      <w:pPr>
        <w:pStyle w:val="ListBullet"/>
      </w:pPr>
      <w:r>
        <w:t>高精度数值处理：Go 后端统一使用 big.Int 或定制 decimal 封装，不使用 float64 处理链上金额。</w:t>
      </w:r>
    </w:p>
    <w:p>
      <w:pPr>
        <w:pStyle w:val="Heading1"/>
      </w:pPr>
      <w:r>
        <w:rPr>
          <w:b w:val="0"/>
          <w:i w:val="0"/>
        </w:rPr>
        <w:t>5. Go 后端模块设计</w:t>
      </w:r>
    </w:p>
    <w:p>
      <w:pPr>
        <w:pStyle w:val="Heading2"/>
      </w:pPr>
      <w:r>
        <w:rPr>
          <w:b w:val="0"/>
          <w:i w:val="0"/>
        </w:rPr>
        <w:t>5.1 技术选型</w:t>
      </w:r>
    </w:p>
    <w:p>
      <w:pPr>
        <w:pStyle w:val="ListBullet"/>
      </w:pPr>
      <w:r>
        <w:t>Web 框架：Gin</w:t>
      </w:r>
    </w:p>
    <w:p>
      <w:pPr>
        <w:pStyle w:val="ListBullet"/>
      </w:pPr>
      <w:r>
        <w:t>链交互：go-ethereum</w:t>
      </w:r>
    </w:p>
    <w:p>
      <w:pPr>
        <w:pStyle w:val="ListBullet"/>
      </w:pPr>
      <w:r>
        <w:t>数据库：PostgreSQL</w:t>
      </w:r>
    </w:p>
    <w:p>
      <w:pPr>
        <w:pStyle w:val="ListBullet"/>
      </w:pPr>
      <w:r>
        <w:t>缓存：Redis</w:t>
      </w:r>
    </w:p>
    <w:p>
      <w:pPr>
        <w:pStyle w:val="ListBullet"/>
      </w:pPr>
      <w:r>
        <w:t>日志：Zap</w:t>
      </w:r>
    </w:p>
    <w:p>
      <w:pPr>
        <w:pStyle w:val="ListBullet"/>
      </w:pPr>
      <w:r>
        <w:t>配置管理：Viper</w:t>
      </w:r>
    </w:p>
    <w:p>
      <w:pPr>
        <w:pStyle w:val="ListBullet"/>
      </w:pPr>
      <w:r>
        <w:t>迁移工具：golang-migrate</w:t>
      </w:r>
    </w:p>
    <w:p>
      <w:pPr>
        <w:pStyle w:val="ListBullet"/>
      </w:pPr>
      <w:r>
        <w:t>鉴权：管理员使用 JWT；用户前台使用钱包签名登录</w:t>
      </w:r>
    </w:p>
    <w:p>
      <w:pPr>
        <w:pStyle w:val="Heading2"/>
      </w:pPr>
      <w:r>
        <w:rPr>
          <w:b w:val="0"/>
          <w:i w:val="0"/>
        </w:rPr>
        <w:t>5.2 后端模块总览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408"/>
            <w:vAlign w:val="center"/>
          </w:tcPr>
          <w:p>
            <w:r/>
            <w:r>
              <w:rPr>
                <w:b/>
              </w:rPr>
              <w:t>模块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b/>
              </w:rPr>
              <w:t>职责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b/>
              </w:rPr>
              <w:t>输入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b/>
              </w:rPr>
              <w:t>输出</w:t>
            </w:r>
          </w:p>
        </w:tc>
      </w:tr>
      <w:tr>
        <w:tc>
          <w:tcPr>
            <w:tcW w:type="dxa" w:w="2408"/>
            <w:vAlign w:val="center"/>
          </w:tcPr>
          <w:p>
            <w:r/>
            <w:r>
              <w:rPr>
                <w:b w:val="0"/>
              </w:rPr>
              <w:t>api-gateway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b w:val="0"/>
              </w:rPr>
              <w:t>提供 HTTP / WebSocket 接口，聚合市场、仓位、清算和后台管理能力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b w:val="0"/>
              </w:rPr>
              <w:t>前端请求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b w:val="0"/>
              </w:rPr>
              <w:t>JSON API、实时推送</w:t>
            </w:r>
          </w:p>
        </w:tc>
      </w:tr>
      <w:tr>
        <w:tc>
          <w:tcPr>
            <w:tcW w:type="dxa" w:w="2408"/>
            <w:vAlign w:val="center"/>
          </w:tcPr>
          <w:p>
            <w:r/>
            <w:r>
              <w:rPr>
                <w:b w:val="0"/>
              </w:rPr>
              <w:t>chain-indexer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b w:val="0"/>
              </w:rPr>
              <w:t>历史补扫 + 实时订阅合约事件，落库并驱动仓位更新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b w:val="0"/>
              </w:rPr>
              <w:t>区块日志、ABI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b w:val="0"/>
              </w:rPr>
              <w:t>protocol_events、user_positions、snapshots</w:t>
            </w:r>
          </w:p>
        </w:tc>
      </w:tr>
      <w:tr>
        <w:tc>
          <w:tcPr>
            <w:tcW w:type="dxa" w:w="2408"/>
            <w:vAlign w:val="center"/>
          </w:tcPr>
          <w:p>
            <w:r/>
            <w:r>
              <w:rPr>
                <w:b w:val="0"/>
              </w:rPr>
              <w:t>position-service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b w:val="0"/>
              </w:rPr>
              <w:t>统一计算用户抵押价值、债务价值、健康因子与可借额度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b w:val="0"/>
              </w:rPr>
              <w:t>数据库状态、价格缓存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b w:val="0"/>
              </w:rPr>
              <w:t>仓位聚合视图</w:t>
            </w:r>
          </w:p>
        </w:tc>
      </w:tr>
      <w:tr>
        <w:tc>
          <w:tcPr>
            <w:tcW w:type="dxa" w:w="2408"/>
            <w:vAlign w:val="center"/>
          </w:tcPr>
          <w:p>
            <w:r/>
            <w:r>
              <w:rPr>
                <w:b w:val="0"/>
              </w:rPr>
              <w:t>risk-engine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b w:val="0"/>
              </w:rPr>
              <w:t>扫描活跃仓位，识别高风险账户并生成清算任务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b w:val="0"/>
              </w:rPr>
              <w:t>position_snapshots、价格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b w:val="0"/>
              </w:rPr>
              <w:t>risk_alerts、liquidation_tasks</w:t>
            </w:r>
          </w:p>
        </w:tc>
      </w:tr>
      <w:tr>
        <w:tc>
          <w:tcPr>
            <w:tcW w:type="dxa" w:w="2408"/>
            <w:vAlign w:val="center"/>
          </w:tcPr>
          <w:p>
            <w:r/>
            <w:r>
              <w:rPr>
                <w:b w:val="0"/>
              </w:rPr>
              <w:t>liquidation-bot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b w:val="0"/>
              </w:rPr>
              <w:t>消费清算任务，模拟收益并广播清算交易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b w:val="0"/>
              </w:rPr>
              <w:t>liquidation_tasks、链上状态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b w:val="0"/>
              </w:rPr>
              <w:t>liquidation_records、任务状态</w:t>
            </w:r>
          </w:p>
        </w:tc>
      </w:tr>
      <w:tr>
        <w:tc>
          <w:tcPr>
            <w:tcW w:type="dxa" w:w="2408"/>
            <w:vAlign w:val="center"/>
          </w:tcPr>
          <w:p>
            <w:r/>
            <w:r>
              <w:rPr>
                <w:b w:val="0"/>
              </w:rPr>
              <w:t>market-cache-service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b w:val="0"/>
              </w:rPr>
              <w:t>缓存市场参数、价格与核心聚合指标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b w:val="0"/>
              </w:rPr>
              <w:t>数据库、链上价格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b w:val="0"/>
              </w:rPr>
              <w:t>Redis 热数据</w:t>
            </w:r>
          </w:p>
        </w:tc>
      </w:tr>
      <w:tr>
        <w:tc>
          <w:tcPr>
            <w:tcW w:type="dxa" w:w="2408"/>
            <w:vAlign w:val="center"/>
          </w:tcPr>
          <w:p>
            <w:r/>
            <w:r>
              <w:rPr>
                <w:b w:val="0"/>
              </w:rPr>
              <w:t>admin-service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b w:val="0"/>
              </w:rPr>
              <w:t>后台配置资产参数与查看风险运行情况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b w:val="0"/>
              </w:rPr>
              <w:t>管理员请求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b w:val="0"/>
              </w:rPr>
              <w:t>后台配置结果、审计日志</w:t>
            </w:r>
          </w:p>
        </w:tc>
      </w:tr>
    </w:tbl>
    <w:p>
      <w:pPr>
        <w:pStyle w:val="Heading2"/>
      </w:pPr>
      <w:r>
        <w:rPr>
          <w:b w:val="0"/>
          <w:i w:val="0"/>
        </w:rPr>
        <w:t>5.3 推荐目录结构</w:t>
      </w:r>
    </w:p>
    <w:p>
      <w:pPr>
        <w:pStyle w:val="CodeBlock"/>
      </w:pPr>
      <w:r>
        <w:t>lendcore-pro/</w:t>
        <w:br/>
        <w:t xml:space="preserve">  contracts/</w:t>
        <w:br/>
        <w:t xml:space="preserve">  backend/</w:t>
        <w:br/>
        <w:t xml:space="preserve">    cmd/</w:t>
        <w:br/>
        <w:t xml:space="preserve">      api/</w:t>
        <w:br/>
        <w:t xml:space="preserve">      indexer/</w:t>
        <w:br/>
        <w:t xml:space="preserve">      risk/</w:t>
        <w:br/>
        <w:t xml:space="preserve">      liquidator/</w:t>
        <w:br/>
        <w:t xml:space="preserve">      worker/</w:t>
        <w:br/>
        <w:t xml:space="preserve">    internal/</w:t>
        <w:br/>
        <w:t xml:space="preserve">      app/</w:t>
        <w:br/>
        <w:t xml:space="preserve">      config/</w:t>
        <w:br/>
        <w:t xml:space="preserve">      middleware/</w:t>
        <w:br/>
        <w:t xml:space="preserve">      transport/</w:t>
        <w:br/>
        <w:t xml:space="preserve">        http/</w:t>
        <w:br/>
        <w:t xml:space="preserve">        ws/</w:t>
        <w:br/>
        <w:t xml:space="preserve">      domain/</w:t>
        <w:br/>
        <w:t xml:space="preserve">        market/</w:t>
        <w:br/>
        <w:t xml:space="preserve">        position/</w:t>
        <w:br/>
        <w:t xml:space="preserve">        risk/</w:t>
        <w:br/>
        <w:t xml:space="preserve">        liquidation/</w:t>
        <w:br/>
        <w:t xml:space="preserve">        protocol/</w:t>
        <w:br/>
        <w:t xml:space="preserve">      repository/</w:t>
        <w:br/>
        <w:t xml:space="preserve">        postgres/</w:t>
        <w:br/>
        <w:t xml:space="preserve">        redis/</w:t>
        <w:br/>
        <w:t xml:space="preserve">      blockchain/</w:t>
        <w:br/>
        <w:t xml:space="preserve">        client/</w:t>
        <w:br/>
        <w:t xml:space="preserve">        abi/</w:t>
        <w:br/>
        <w:t xml:space="preserve">        listener/</w:t>
        <w:br/>
        <w:t xml:space="preserve">        signer/</w:t>
        <w:br/>
        <w:t xml:space="preserve">        oracle/</w:t>
        <w:br/>
        <w:t xml:space="preserve">      service/</w:t>
        <w:br/>
        <w:t xml:space="preserve">      scheduler/</w:t>
        <w:br/>
        <w:t xml:space="preserve">      queue/</w:t>
        <w:br/>
        <w:t xml:space="preserve">      model/</w:t>
        <w:br/>
        <w:t xml:space="preserve">      dto/</w:t>
        <w:br/>
        <w:t xml:space="preserve">      types/</w:t>
        <w:br/>
        <w:t xml:space="preserve">      utils/</w:t>
        <w:br/>
        <w:t xml:space="preserve">    migrations/</w:t>
        <w:br/>
        <w:t xml:space="preserve">    docs/</w:t>
        <w:br/>
        <w:t xml:space="preserve">    go.mod</w:t>
        <w:br/>
        <w:t xml:space="preserve">  frontend/</w:t>
      </w:r>
    </w:p>
    <w:p>
      <w:pPr>
        <w:pStyle w:val="Heading2"/>
      </w:pPr>
      <w:r>
        <w:rPr>
          <w:b w:val="0"/>
          <w:i w:val="0"/>
        </w:rPr>
        <w:t>5.4 后端分层建议</w:t>
      </w:r>
    </w:p>
    <w:p>
      <w:pPr>
        <w:pStyle w:val="ListBullet"/>
      </w:pPr>
      <w:r>
        <w:t>transport 层：处理 HTTP 和 WebSocket。</w:t>
      </w:r>
    </w:p>
    <w:p>
      <w:pPr>
        <w:pStyle w:val="ListBullet"/>
      </w:pPr>
      <w:r>
        <w:t>service 层：编排业务流程，不直接依赖具体传输协议。</w:t>
      </w:r>
    </w:p>
    <w:p>
      <w:pPr>
        <w:pStyle w:val="ListBullet"/>
      </w:pPr>
      <w:r>
        <w:t>domain 层：沉淀健康因子、清算资格、利率计算等核心业务规则。</w:t>
      </w:r>
    </w:p>
    <w:p>
      <w:pPr>
        <w:pStyle w:val="ListBullet"/>
      </w:pPr>
      <w:r>
        <w:t>repository 层：封装 PostgreSQL / Redis 访问。</w:t>
      </w:r>
    </w:p>
    <w:p>
      <w:pPr>
        <w:pStyle w:val="ListBullet"/>
      </w:pPr>
      <w:r>
        <w:t>blockchain 层：统一封装 RPC、日志解析、合约调用、交易发送和价格读取。</w:t>
      </w:r>
    </w:p>
    <w:p>
      <w:pPr>
        <w:pStyle w:val="Heading2"/>
      </w:pPr>
      <w:r>
        <w:rPr>
          <w:b w:val="0"/>
          <w:i w:val="0"/>
        </w:rPr>
        <w:t>5.5 链上事件监听策略</w:t>
      </w:r>
    </w:p>
    <w:p>
      <w:r>
        <w:rPr>
          <w:b w:val="0"/>
          <w:i w:val="0"/>
        </w:rPr>
        <w:t>采用“双轨制”：历史补扫 + 实时订阅。系统启动时从 chain_sync_state 中记录的区块高度继续 FilterLogs 补扫，补齐缺失事件后进入 SubscribeFilterLogs 实时模式。为应对 websocket 中断和链重组，需设置确认数、断点续扫和周期性对账。</w:t>
      </w:r>
    </w:p>
    <w:p>
      <w:pPr>
        <w:pStyle w:val="Heading1"/>
      </w:pPr>
      <w:r>
        <w:rPr>
          <w:b w:val="0"/>
          <w:i w:val="0"/>
        </w:rPr>
        <w:t>6. 数据库设计</w:t>
      </w:r>
    </w:p>
    <w:p>
      <w:pPr>
        <w:pStyle w:val="Heading2"/>
      </w:pPr>
      <w:r>
        <w:rPr>
          <w:b w:val="0"/>
          <w:i w:val="0"/>
        </w:rPr>
        <w:t>6.1 核心设计说明</w:t>
      </w:r>
    </w:p>
    <w:p>
      <w:r>
        <w:rPr>
          <w:b w:val="0"/>
          <w:i w:val="0"/>
        </w:rPr>
        <w:t>数据库的定位是“查询视图与任务驱动中心”，而不是链上事实的替代品。关键表需围绕索引、仓位、风险任务和审计日志展开。</w:t>
      </w:r>
    </w:p>
    <w:p>
      <w:pPr>
        <w:pStyle w:val="Heading2"/>
      </w:pPr>
      <w:r>
        <w:rPr>
          <w:b w:val="0"/>
          <w:i w:val="0"/>
        </w:rPr>
        <w:t>6.2 表结构总览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vAlign w:val="center"/>
          </w:tcPr>
          <w:p>
            <w:r/>
            <w:r>
              <w:rPr>
                <w:b/>
              </w:rPr>
              <w:t>表名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/>
              </w:rPr>
              <w:t>用途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/>
              </w:rPr>
              <w:t>关键字段示例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users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记录钱包地址用户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wallet_address, created_at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markets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记录支持资产与风险参数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asset_address, symbol, collateral_factor, liquidation_threshold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user_positions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记录用户在单资产上的抵押、供给、借款状态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wallet_address, asset_address, collateral_amount, borrowed_amount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position_snapshots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记录用户整体仓位快照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total_collateral_usd, total_debt_usd, health_factor, block_number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protocol_events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记录链上业务事件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tx_hash, log_index, event_type, raw_data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chain_sync_state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记录索引器同步进度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chain_id, contract_address, last_scanned_block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processed_events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保证事件处理幂等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tx_hash, log_index, event_type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risk_alerts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记录风险告警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wallet_address, alert_type, health_factor, status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liquidation_tasks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自动清算任务队列表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wallet_address, repay_amount, status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liquidation_records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记录已执行清算结果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task_id, tx_hash, repaid_amount, seized_collateral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admin_operation_logs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后台参数变更审计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operator, action, before_json, after_json</w:t>
            </w:r>
          </w:p>
        </w:tc>
      </w:tr>
    </w:tbl>
    <w:p>
      <w:pPr>
        <w:pStyle w:val="Heading2"/>
      </w:pPr>
      <w:r>
        <w:rPr>
          <w:b w:val="0"/>
          <w:i w:val="0"/>
        </w:rPr>
        <w:t>6.3 建议字段设计</w:t>
      </w:r>
    </w:p>
    <w:p>
      <w:pPr>
        <w:pStyle w:val="Heading3"/>
      </w:pPr>
      <w:r>
        <w:rPr>
          <w:b w:val="0"/>
          <w:i w:val="0"/>
        </w:rPr>
        <w:t>users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vAlign w:val="center"/>
          </w:tcPr>
          <w:p>
            <w:r/>
            <w:r>
              <w:rPr>
                <w:b/>
              </w:rPr>
              <w:t>字段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/>
              </w:rPr>
              <w:t>类型示例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/>
              </w:rPr>
              <w:t>说明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id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bigserial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主键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wallet_address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varchar(64)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用户钱包地址，唯一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created_at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timestamp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创建时间</w:t>
            </w:r>
          </w:p>
        </w:tc>
      </w:tr>
    </w:tbl>
    <w:p>
      <w:pPr>
        <w:pStyle w:val="Heading3"/>
      </w:pPr>
      <w:r>
        <w:rPr>
          <w:b w:val="0"/>
          <w:i w:val="0"/>
        </w:rPr>
        <w:t>markets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vAlign w:val="center"/>
          </w:tcPr>
          <w:p>
            <w:r/>
            <w:r>
              <w:rPr>
                <w:b/>
              </w:rPr>
              <w:t>字段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/>
              </w:rPr>
              <w:t>类型示例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/>
              </w:rPr>
              <w:t>说明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id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bigserial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主键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chain_id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bigint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链 ID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asset_address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varchar(64)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资产合约地址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symbol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varchar(32)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资产符号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decimals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int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资产精度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is_collateral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boolean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是否可做抵押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is_borrowable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boolean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是否可借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collateral_factor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numeric(36,18)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抵押因子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liquidation_threshold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numeric(36,18)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清算阈值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liquidation_bonus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numeric(36,18)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清算奖励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reserve_factor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numeric(36,18)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协议准备金比例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oracle_address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varchar(64)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预言机地址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interest_model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varchar(64)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利率模型标识或地址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is_active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boolean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市场是否启用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created_at / updated_at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timestamp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时间戳</w:t>
            </w:r>
          </w:p>
        </w:tc>
      </w:tr>
    </w:tbl>
    <w:p>
      <w:pPr>
        <w:pStyle w:val="Heading3"/>
      </w:pPr>
      <w:r>
        <w:rPr>
          <w:b w:val="0"/>
          <w:i w:val="0"/>
        </w:rPr>
        <w:t>user_positions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vAlign w:val="center"/>
          </w:tcPr>
          <w:p>
            <w:r/>
            <w:r>
              <w:rPr>
                <w:b/>
              </w:rPr>
              <w:t>字段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/>
              </w:rPr>
              <w:t>类型示例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/>
              </w:rPr>
              <w:t>说明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id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bigserial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主键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wallet_address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varchar(64)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用户地址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asset_address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varchar(64)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资产地址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collateral_amount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numeric(78,0)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抵押数量，按最小单位存储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supplied_amount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numeric(78,0)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供给数量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borrowed_principal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numeric(78,0)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借款本金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borrow_index_snapshot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numeric(36,18)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借款利率指数快照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supply_index_snapshot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numeric(36,18)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供给利率指数快照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updated_at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timestamp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更新时间</w:t>
            </w:r>
          </w:p>
        </w:tc>
      </w:tr>
    </w:tbl>
    <w:p>
      <w:pPr>
        <w:pStyle w:val="Heading3"/>
      </w:pPr>
      <w:r>
        <w:rPr>
          <w:b w:val="0"/>
          <w:i w:val="0"/>
        </w:rPr>
        <w:t>position_snapshots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vAlign w:val="center"/>
          </w:tcPr>
          <w:p>
            <w:r/>
            <w:r>
              <w:rPr>
                <w:b/>
              </w:rPr>
              <w:t>字段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/>
              </w:rPr>
              <w:t>类型示例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/>
              </w:rPr>
              <w:t>说明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id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bigserial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主键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wallet_address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varchar(64)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用户地址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total_collateral_usd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numeric(36,18)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总抵押价值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total_debt_usd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numeric(36,18)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总债务价值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available_borrow_usd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numeric(36,18)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剩余可借额度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health_factor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numeric(36,18)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健康因子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block_number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bigint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快照对应区块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created_at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timestamp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创建时间</w:t>
            </w:r>
          </w:p>
        </w:tc>
      </w:tr>
    </w:tbl>
    <w:p>
      <w:pPr>
        <w:pStyle w:val="Heading3"/>
      </w:pPr>
      <w:r>
        <w:rPr>
          <w:b w:val="0"/>
          <w:i w:val="0"/>
        </w:rPr>
        <w:t>protocol_events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vAlign w:val="center"/>
          </w:tcPr>
          <w:p>
            <w:r/>
            <w:r>
              <w:rPr>
                <w:b/>
              </w:rPr>
              <w:t>字段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/>
              </w:rPr>
              <w:t>类型示例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/>
              </w:rPr>
              <w:t>说明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id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bigserial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主键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chain_id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bigint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链 ID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contract_address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varchar(64)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发出事件的合约地址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tx_hash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varchar(80)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交易哈希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log_index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int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日志索引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block_number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bigint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区块高度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event_type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varchar(64)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事件类型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wallet_address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varchar(64)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关联地址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asset_address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varchar(64)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关联资产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amount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numeric(78,0)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金额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raw_data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jsonb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原始事件内容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created_at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timestamp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入库时间</w:t>
            </w:r>
          </w:p>
        </w:tc>
      </w:tr>
    </w:tbl>
    <w:p>
      <w:pPr>
        <w:pStyle w:val="Heading3"/>
      </w:pPr>
      <w:r>
        <w:rPr>
          <w:b w:val="0"/>
          <w:i w:val="0"/>
        </w:rPr>
        <w:t>chain_sync_state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vAlign w:val="center"/>
          </w:tcPr>
          <w:p>
            <w:r/>
            <w:r>
              <w:rPr>
                <w:b/>
              </w:rPr>
              <w:t>字段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/>
              </w:rPr>
              <w:t>类型示例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/>
              </w:rPr>
              <w:t>说明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id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bigserial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主键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chain_id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bigint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链 ID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contract_address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varchar(64)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监听合约地址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last_scanned_block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bigint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最后补扫区块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last_confirmed_block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bigint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最后确认区块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updated_at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timestamp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更新时间</w:t>
            </w:r>
          </w:p>
        </w:tc>
      </w:tr>
    </w:tbl>
    <w:p>
      <w:pPr>
        <w:pStyle w:val="Heading3"/>
      </w:pPr>
      <w:r>
        <w:rPr>
          <w:b w:val="0"/>
          <w:i w:val="0"/>
        </w:rPr>
        <w:t>processed_events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vAlign w:val="center"/>
          </w:tcPr>
          <w:p>
            <w:r/>
            <w:r>
              <w:rPr>
                <w:b/>
              </w:rPr>
              <w:t>字段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/>
              </w:rPr>
              <w:t>类型示例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/>
              </w:rPr>
              <w:t>说明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id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bigserial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主键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tx_hash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varchar(80)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交易哈希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log_index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int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日志索引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event_type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varchar(64)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事件类型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processed_at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timestamp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处理时间</w:t>
            </w:r>
          </w:p>
        </w:tc>
      </w:tr>
    </w:tbl>
    <w:p>
      <w:pPr>
        <w:pStyle w:val="Heading3"/>
      </w:pPr>
      <w:r>
        <w:rPr>
          <w:b w:val="0"/>
          <w:i w:val="0"/>
        </w:rPr>
        <w:t>risk_alerts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vAlign w:val="center"/>
          </w:tcPr>
          <w:p>
            <w:r/>
            <w:r>
              <w:rPr>
                <w:b/>
              </w:rPr>
              <w:t>字段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/>
              </w:rPr>
              <w:t>类型示例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/>
              </w:rPr>
              <w:t>说明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id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bigserial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主键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wallet_address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varchar(64)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用户地址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alert_type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varchar(32)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HIGH_RISK / LIQUIDATABLE 等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health_factor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numeric(36,18)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触发时健康因子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status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varchar(32)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OPEN / CLOSED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created_at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timestamp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创建时间</w:t>
            </w:r>
          </w:p>
        </w:tc>
      </w:tr>
    </w:tbl>
    <w:p>
      <w:pPr>
        <w:pStyle w:val="Heading3"/>
      </w:pPr>
      <w:r>
        <w:rPr>
          <w:b w:val="0"/>
          <w:i w:val="0"/>
        </w:rPr>
        <w:t>liquidation_tasks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vAlign w:val="center"/>
          </w:tcPr>
          <w:p>
            <w:r/>
            <w:r>
              <w:rPr>
                <w:b/>
              </w:rPr>
              <w:t>字段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/>
              </w:rPr>
              <w:t>类型示例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/>
              </w:rPr>
              <w:t>说明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id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bigserial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主键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wallet_address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varchar(64)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目标用户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debt_asset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varchar(64)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偿还资产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collateral_asset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varchar(64)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获取抵押资产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repay_amount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numeric(78,0)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计划偿还数量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status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varchar(32)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PENDING / RUNNING / SUCCESS / FAILED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attempt_count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int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重试次数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last_error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text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最近错误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created_at / updated_at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timestamp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时间戳</w:t>
            </w:r>
          </w:p>
        </w:tc>
      </w:tr>
    </w:tbl>
    <w:p>
      <w:pPr>
        <w:pStyle w:val="Heading3"/>
      </w:pPr>
      <w:r>
        <w:rPr>
          <w:b w:val="0"/>
          <w:i w:val="0"/>
        </w:rPr>
        <w:t>liquidation_records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vAlign w:val="center"/>
          </w:tcPr>
          <w:p>
            <w:r/>
            <w:r>
              <w:rPr>
                <w:b/>
              </w:rPr>
              <w:t>字段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/>
              </w:rPr>
              <w:t>类型示例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/>
              </w:rPr>
              <w:t>说明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id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bigserial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主键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task_id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bigint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关联任务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tx_hash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varchar(80)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清算交易哈希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repaid_amount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numeric(78,0)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实际偿还数量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seized_collateral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numeric(78,0)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实际获取抵押品数量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gas_cost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numeric(36,18)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执行 gas 成本估算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profit_estimate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numeric(36,18)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预计利润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created_at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timestamp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创建时间</w:t>
            </w:r>
          </w:p>
        </w:tc>
      </w:tr>
    </w:tbl>
    <w:p>
      <w:pPr>
        <w:pStyle w:val="Heading2"/>
      </w:pPr>
      <w:r>
        <w:rPr>
          <w:b w:val="0"/>
          <w:i w:val="0"/>
        </w:rPr>
        <w:t>6.4 数据关系</w:t>
      </w:r>
    </w:p>
    <w:p>
      <w:pPr>
        <w:pStyle w:val="CodeBlock"/>
      </w:pPr>
      <w:r>
        <w:t>users 1:N user_positions</w:t>
        <w:br/>
        <w:t>users 1:N position_snapshots</w:t>
        <w:br/>
        <w:t>users 1:N risk_alerts</w:t>
        <w:br/>
        <w:t>markets 1:N user_positions</w:t>
        <w:br/>
        <w:t>markets 1:N protocol_events</w:t>
        <w:br/>
        <w:t>liquidation_tasks 1:1 liquidation_records (optional)</w:t>
      </w:r>
    </w:p>
    <w:p>
      <w:pPr>
        <w:pStyle w:val="Heading2"/>
      </w:pPr>
      <w:r>
        <w:rPr>
          <w:b w:val="0"/>
          <w:i w:val="0"/>
        </w:rPr>
        <w:t>6.5 数据一致性与幂等要求</w:t>
      </w:r>
    </w:p>
    <w:p>
      <w:pPr>
        <w:pStyle w:val="ListBullet"/>
      </w:pPr>
      <w:r>
        <w:t>事件唯一键使用 tx_hash + log_index，避免重复落库。</w:t>
      </w:r>
    </w:p>
    <w:p>
      <w:pPr>
        <w:pStyle w:val="ListBullet"/>
      </w:pPr>
      <w:r>
        <w:t>user_positions 按事件增量更新，同时可通过重建脚本从 protocol_events 重算。</w:t>
      </w:r>
    </w:p>
    <w:p>
      <w:pPr>
        <w:pStyle w:val="ListBullet"/>
      </w:pPr>
      <w:r>
        <w:t>position_snapshots 用于查询和风控，不作为链上真相替代。</w:t>
      </w:r>
    </w:p>
    <w:p>
      <w:pPr>
        <w:pStyle w:val="ListBullet"/>
      </w:pPr>
      <w:r>
        <w:t>liquidation_tasks 的状态变迁必须加乐观锁或行级锁，防止多机器人重复执行。</w:t>
      </w:r>
    </w:p>
    <w:p>
      <w:pPr>
        <w:pStyle w:val="Heading1"/>
      </w:pPr>
      <w:r>
        <w:rPr>
          <w:b w:val="0"/>
          <w:i w:val="0"/>
        </w:rPr>
        <w:t>7. 合约存储结构设计</w:t>
      </w:r>
    </w:p>
    <w:p>
      <w:pPr>
        <w:pStyle w:val="Heading2"/>
      </w:pPr>
      <w:r>
        <w:rPr>
          <w:b w:val="0"/>
          <w:i w:val="0"/>
        </w:rPr>
        <w:t>7.1 合约模块划分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vAlign w:val="center"/>
          </w:tcPr>
          <w:p>
            <w:r/>
            <w:r>
              <w:rPr>
                <w:b/>
              </w:rPr>
              <w:t>模块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/>
              </w:rPr>
              <w:t>职责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/>
              </w:rPr>
              <w:t>备注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LendingPool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用户主入口，负责存入、借款、还款、提取、清算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核心状态写入合约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PoolConfigurator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管理市场参数、预言机地址、利率模型和开关状态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管理员入口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AccountLogic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负责总抵押价值、总债务价值、可借额度、健康因子计算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建议做 library/logic 模块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InterestRateModel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根据利用率返回借款利率与供给利率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可升级为 jump rate model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PriceOracleAdapter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统一封装价格读取、精度和有效性检查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屏蔽预言机差异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LiquidationLogic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判断可清算状态并计算最大可清算额度及抵押品奖励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供主池调用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ReserveTreasury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记录准备金收益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b w:val="0"/>
              </w:rPr>
              <w:t>后续可扩展协议收入提取</w:t>
            </w:r>
          </w:p>
        </w:tc>
      </w:tr>
    </w:tbl>
    <w:p>
      <w:pPr>
        <w:pStyle w:val="Heading2"/>
      </w:pPr>
      <w:r>
        <w:rPr>
          <w:b w:val="0"/>
          <w:i w:val="0"/>
        </w:rPr>
        <w:t>7.2 关键存储结构</w:t>
      </w:r>
    </w:p>
    <w:p>
      <w:r>
        <w:rPr>
          <w:b w:val="0"/>
          <w:i w:val="0"/>
        </w:rPr>
        <w:t>建议将市场级状态、用户级状态和协议级配置分层存储，以便扩展到多资产。</w:t>
      </w:r>
    </w:p>
    <w:p>
      <w:pPr>
        <w:pStyle w:val="Heading3"/>
      </w:pPr>
      <w:r>
        <w:rPr>
          <w:b w:val="0"/>
          <w:i w:val="0"/>
        </w:rPr>
        <w:t>7.2.1 市场配置结构</w:t>
      </w:r>
    </w:p>
    <w:p>
      <w:pPr>
        <w:pStyle w:val="CodeBlock"/>
      </w:pPr>
      <w:r>
        <w:t>struct MarketConfig {</w:t>
        <w:br/>
        <w:t xml:space="preserve">    bool isActive;</w:t>
        <w:br/>
        <w:t xml:space="preserve">    bool isCollateral;</w:t>
        <w:br/>
        <w:t xml:space="preserve">    bool isBorrowable;</w:t>
        <w:br/>
        <w:t xml:space="preserve">    uint8 decimals;</w:t>
        <w:br/>
        <w:t xml:space="preserve">    uint256 collateralFactor;      // 1e18</w:t>
        <w:br/>
        <w:t xml:space="preserve">    uint256 liquidationThreshold;  // 1e18</w:t>
        <w:br/>
        <w:t xml:space="preserve">    uint256 liquidationBonus;      // 1e18</w:t>
        <w:br/>
        <w:t xml:space="preserve">    uint256 reserveFactor;         // 1e18</w:t>
        <w:br/>
        <w:t xml:space="preserve">    address underlying;</w:t>
        <w:br/>
        <w:t xml:space="preserve">    address oracle;</w:t>
        <w:br/>
        <w:t xml:space="preserve">    address interestRateModel;</w:t>
        <w:br/>
        <w:t>}</w:t>
      </w:r>
    </w:p>
    <w:p>
      <w:pPr>
        <w:pStyle w:val="Heading3"/>
      </w:pPr>
      <w:r>
        <w:rPr>
          <w:b w:val="0"/>
          <w:i w:val="0"/>
        </w:rPr>
        <w:t>7.2.2 市场状态结构</w:t>
      </w:r>
    </w:p>
    <w:p>
      <w:pPr>
        <w:pStyle w:val="CodeBlock"/>
      </w:pPr>
      <w:r>
        <w:t>struct MarketState {</w:t>
        <w:br/>
        <w:t xml:space="preserve">    uint256 totalSupplied;</w:t>
        <w:br/>
        <w:t xml:space="preserve">    uint256 totalBorrowed;</w:t>
        <w:br/>
        <w:t xml:space="preserve">    uint256 totalReserves;</w:t>
        <w:br/>
        <w:t xml:space="preserve">    uint256 supplyIndex;     // 1e18</w:t>
        <w:br/>
        <w:t xml:space="preserve">    uint256 borrowIndex;     // 1e18</w:t>
        <w:br/>
        <w:t xml:space="preserve">    uint256 lastAccrualTime;</w:t>
        <w:br/>
        <w:t>}</w:t>
      </w:r>
    </w:p>
    <w:p>
      <w:pPr>
        <w:pStyle w:val="Heading3"/>
      </w:pPr>
      <w:r>
        <w:rPr>
          <w:b w:val="0"/>
          <w:i w:val="0"/>
        </w:rPr>
        <w:t>7.2.3 用户单市场头寸结构</w:t>
      </w:r>
    </w:p>
    <w:p>
      <w:pPr>
        <w:pStyle w:val="CodeBlock"/>
      </w:pPr>
      <w:r>
        <w:t>struct UserMarketPosition {</w:t>
        <w:br/>
        <w:t xml:space="preserve">    uint256 collateralAmount;</w:t>
        <w:br/>
        <w:t xml:space="preserve">    uint256 suppliedAmount;</w:t>
        <w:br/>
        <w:t xml:space="preserve">    uint256 borrowPrincipal;</w:t>
        <w:br/>
        <w:t xml:space="preserve">    uint256 supplyIndexSnapshot;</w:t>
        <w:br/>
        <w:t xml:space="preserve">    uint256 borrowIndexSnapshot;</w:t>
        <w:br/>
        <w:t xml:space="preserve">    bool useAsCollateral;</w:t>
        <w:br/>
        <w:t>}</w:t>
      </w:r>
    </w:p>
    <w:p>
      <w:pPr>
        <w:pStyle w:val="Heading3"/>
      </w:pPr>
      <w:r>
        <w:rPr>
          <w:b w:val="0"/>
          <w:i w:val="0"/>
        </w:rPr>
        <w:t>7.2.4 协议级配置结构</w:t>
      </w:r>
    </w:p>
    <w:p>
      <w:pPr>
        <w:pStyle w:val="CodeBlock"/>
      </w:pPr>
      <w:r>
        <w:t>struct ProtocolConfig {</w:t>
        <w:br/>
        <w:t xml:space="preserve">    address admin;</w:t>
        <w:br/>
        <w:t xml:space="preserve">    address riskAdmin;</w:t>
        <w:br/>
        <w:t xml:space="preserve">    bool paused;</w:t>
        <w:br/>
        <w:t xml:space="preserve">    uint256 closeFactor;      // 单次最多可清算比例</w:t>
        <w:br/>
        <w:t xml:space="preserve">    uint256 liquidationFee;   // 可选，协议抽成</w:t>
        <w:br/>
        <w:t>}</w:t>
      </w:r>
    </w:p>
    <w:p>
      <w:pPr>
        <w:pStyle w:val="Heading2"/>
      </w:pPr>
      <w:r>
        <w:rPr>
          <w:b w:val="0"/>
          <w:i w:val="0"/>
        </w:rPr>
        <w:t>7.3 推荐存储映射</w:t>
      </w:r>
    </w:p>
    <w:p>
      <w:pPr>
        <w:pStyle w:val="CodeBlock"/>
      </w:pPr>
      <w:r>
        <w:t>ProtocolConfig public protocolConfig;</w:t>
        <w:br/>
        <w:br/>
        <w:t>mapping(address =&gt; MarketConfig) public marketConfigs;</w:t>
        <w:br/>
        <w:t>mapping(address =&gt; MarketState) public marketStates;</w:t>
        <w:br/>
        <w:br/>
        <w:t>// user =&gt; asset =&gt; position</w:t>
        <w:br/>
        <w:t>mapping(address =&gt; mapping(address =&gt; UserMarketPosition)) internal userPositions;</w:t>
        <w:br/>
        <w:br/>
        <w:t>// user =&gt; enabled collateral asset list (可选优化)</w:t>
        <w:br/>
        <w:t>mapping(address =&gt; address[]) internal userCollateralAssets;</w:t>
        <w:br/>
        <w:t>mapping(address =&gt; mapping(address =&gt; bool)) internal userHasCollateralAsset;</w:t>
      </w:r>
    </w:p>
    <w:p>
      <w:pPr>
        <w:pStyle w:val="Heading2"/>
      </w:pPr>
      <w:r>
        <w:rPr>
          <w:b w:val="0"/>
          <w:i w:val="0"/>
        </w:rPr>
        <w:t>7.4 关键设计说明</w:t>
      </w:r>
    </w:p>
    <w:p>
      <w:pPr>
        <w:pStyle w:val="ListBullet"/>
      </w:pPr>
      <w:r>
        <w:t>marketConfigs 保存相对稳定的治理参数，marketStates 保存会频繁变化的流动性和利率指数。</w:t>
      </w:r>
    </w:p>
    <w:p>
      <w:pPr>
        <w:pStyle w:val="ListBullet"/>
      </w:pPr>
      <w:r>
        <w:t>borrowPrincipal 配合 borrowIndexSnapshot 进行懒更新计息，避免每次都修改所有用户状态。</w:t>
      </w:r>
    </w:p>
    <w:p>
      <w:pPr>
        <w:pStyle w:val="ListBullet"/>
      </w:pPr>
      <w:r>
        <w:t>useAsCollateral 允许后续支持用户对部分供给资产启用或禁用抵押属性。</w:t>
      </w:r>
    </w:p>
    <w:p>
      <w:pPr>
        <w:pStyle w:val="ListBullet"/>
      </w:pPr>
      <w:r>
        <w:t>用户抵押资产列表可显著降低健康因子计算时的遍历成本。</w:t>
      </w:r>
    </w:p>
    <w:p>
      <w:pPr>
        <w:pStyle w:val="Heading2"/>
      </w:pPr>
      <w:r>
        <w:rPr>
          <w:b w:val="0"/>
          <w:i w:val="0"/>
        </w:rPr>
        <w:t>7.5 核心函数建议</w:t>
      </w:r>
    </w:p>
    <w:p>
      <w:pPr>
        <w:pStyle w:val="ListBullet"/>
      </w:pPr>
      <w:r>
        <w:t>depositCollateral(address asset, uint256 amount)</w:t>
      </w:r>
    </w:p>
    <w:p>
      <w:pPr>
        <w:pStyle w:val="ListBullet"/>
      </w:pPr>
      <w:r>
        <w:t>withdrawCollateral(address asset, uint256 amount)</w:t>
      </w:r>
    </w:p>
    <w:p>
      <w:pPr>
        <w:pStyle w:val="ListBullet"/>
      </w:pPr>
      <w:r>
        <w:t>borrow(address asset, uint256 amount)</w:t>
      </w:r>
    </w:p>
    <w:p>
      <w:pPr>
        <w:pStyle w:val="ListBullet"/>
      </w:pPr>
      <w:r>
        <w:t>repay(address asset, uint256 amount)</w:t>
      </w:r>
    </w:p>
    <w:p>
      <w:pPr>
        <w:pStyle w:val="ListBullet"/>
      </w:pPr>
      <w:r>
        <w:t>liquidate(address user, address debtAsset, address collateralAsset, uint256 repayAmount)</w:t>
      </w:r>
    </w:p>
    <w:p>
      <w:pPr>
        <w:pStyle w:val="ListBullet"/>
      </w:pPr>
      <w:r>
        <w:t>configureMarket(address asset, MarketConfig calldata config)</w:t>
      </w:r>
    </w:p>
    <w:p>
      <w:pPr>
        <w:pStyle w:val="ListBullet"/>
      </w:pPr>
      <w:r>
        <w:t>setProtocolPaused(bool paused)</w:t>
      </w:r>
    </w:p>
    <w:p>
      <w:pPr>
        <w:pStyle w:val="Heading2"/>
      </w:pPr>
      <w:r>
        <w:rPr>
          <w:b w:val="0"/>
          <w:i w:val="0"/>
        </w:rPr>
        <w:t>7.6 核心事件建议</w:t>
      </w:r>
    </w:p>
    <w:p>
      <w:pPr>
        <w:pStyle w:val="ListBullet"/>
      </w:pPr>
      <w:r>
        <w:t>Deposit(address indexed user, address indexed asset, uint256 amount)</w:t>
      </w:r>
    </w:p>
    <w:p>
      <w:pPr>
        <w:pStyle w:val="ListBullet"/>
      </w:pPr>
      <w:r>
        <w:t>Withdraw(address indexed user, address indexed asset, uint256 amount)</w:t>
      </w:r>
    </w:p>
    <w:p>
      <w:pPr>
        <w:pStyle w:val="ListBullet"/>
      </w:pPr>
      <w:r>
        <w:t>Borrow(address indexed user, address indexed asset, uint256 amount)</w:t>
      </w:r>
    </w:p>
    <w:p>
      <w:pPr>
        <w:pStyle w:val="ListBullet"/>
      </w:pPr>
      <w:r>
        <w:t>Repay(address indexed user, address indexed asset, uint256 amount)</w:t>
      </w:r>
    </w:p>
    <w:p>
      <w:pPr>
        <w:pStyle w:val="ListBullet"/>
      </w:pPr>
      <w:r>
        <w:t>Liquidate(address indexed liquidator, address indexed user, address debtAsset, address collateralAsset, uint256 repaid, uint256 seized)</w:t>
      </w:r>
    </w:p>
    <w:p>
      <w:pPr>
        <w:pStyle w:val="ListBullet"/>
      </w:pPr>
      <w:r>
        <w:t>MarketConfigured(address indexed asset)</w:t>
      </w:r>
    </w:p>
    <w:p>
      <w:pPr>
        <w:pStyle w:val="ListBullet"/>
      </w:pPr>
      <w:r>
        <w:t>ProtocolPaused(bool paused)</w:t>
      </w:r>
    </w:p>
    <w:p>
      <w:pPr>
        <w:pStyle w:val="Heading1"/>
      </w:pPr>
      <w:r>
        <w:rPr>
          <w:b w:val="0"/>
          <w:i w:val="0"/>
        </w:rPr>
        <w:t>8. 关键数据流与状态流转</w:t>
      </w:r>
    </w:p>
    <w:p>
      <w:pPr>
        <w:pStyle w:val="Heading2"/>
      </w:pPr>
      <w:r>
        <w:rPr>
          <w:b w:val="0"/>
          <w:i w:val="0"/>
        </w:rPr>
        <w:t>8.1 存款 / 借款状态流转</w:t>
      </w:r>
    </w:p>
    <w:p>
      <w:pPr>
        <w:pStyle w:val="CodeBlock"/>
      </w:pPr>
      <w:r>
        <w:t>Wallet Approve</w:t>
        <w:br/>
        <w:t xml:space="preserve"> -&gt; Deposit / Borrow Tx Sent</w:t>
        <w:br/>
        <w:t xml:space="preserve"> -&gt; On-chain Success</w:t>
        <w:br/>
        <w:t xml:space="preserve"> -&gt; Indexer Parse Event</w:t>
        <w:br/>
        <w:t xml:space="preserve"> -&gt; Database Update</w:t>
        <w:br/>
        <w:t xml:space="preserve"> -&gt; Snapshot Refresh</w:t>
        <w:br/>
        <w:t xml:space="preserve"> -&gt; API / WebSocket Push</w:t>
        <w:br/>
        <w:t xml:space="preserve"> -&gt; Frontend Refresh</w:t>
      </w:r>
    </w:p>
    <w:p>
      <w:pPr>
        <w:pStyle w:val="Heading2"/>
      </w:pPr>
      <w:r>
        <w:rPr>
          <w:b w:val="0"/>
          <w:i w:val="0"/>
        </w:rPr>
        <w:t>8.2 风险扫描与清算流转</w:t>
      </w:r>
    </w:p>
    <w:p>
      <w:pPr>
        <w:pStyle w:val="CodeBlock"/>
      </w:pPr>
      <w:r>
        <w:t>Active Positions</w:t>
        <w:br/>
        <w:t xml:space="preserve"> -&gt; Risk Engine Scan</w:t>
        <w:br/>
        <w:t xml:space="preserve"> -&gt; High Risk / Liquidatable Identified</w:t>
        <w:br/>
        <w:t xml:space="preserve"> -&gt; liquidation_tasks Created</w:t>
        <w:br/>
        <w:t xml:space="preserve"> -&gt; Liquidation Bot Simulation</w:t>
        <w:br/>
        <w:t xml:space="preserve"> -&gt; On-chain Liquidation Tx</w:t>
        <w:br/>
        <w:t xml:space="preserve"> -&gt; Event Indexed</w:t>
        <w:br/>
        <w:t xml:space="preserve"> -&gt; Records Updated</w:t>
        <w:br/>
        <w:t xml:space="preserve"> -&gt; Snapshot Settled</w:t>
      </w:r>
    </w:p>
    <w:p>
      <w:pPr>
        <w:pStyle w:val="Heading1"/>
      </w:pPr>
      <w:r>
        <w:rPr>
          <w:b w:val="0"/>
          <w:i w:val="0"/>
        </w:rPr>
        <w:t>9. 前端页面设计</w:t>
      </w:r>
    </w:p>
    <w:p>
      <w:pPr>
        <w:pStyle w:val="Heading2"/>
      </w:pPr>
      <w:r>
        <w:rPr>
          <w:b w:val="0"/>
          <w:i w:val="0"/>
        </w:rPr>
        <w:t>9.1 用户前台</w:t>
      </w:r>
    </w:p>
    <w:p>
      <w:pPr>
        <w:pStyle w:val="ListBullet"/>
      </w:pPr>
      <w:r>
        <w:t>协议首页：展示 TVL、总借款量、市场总览、利用率。</w:t>
      </w:r>
    </w:p>
    <w:p>
      <w:pPr>
        <w:pStyle w:val="ListBullet"/>
      </w:pPr>
      <w:r>
        <w:t>市场页：展示各资产市场的借款利率、供给利率、抵押因子和清算阈值。</w:t>
      </w:r>
    </w:p>
    <w:p>
      <w:pPr>
        <w:pStyle w:val="ListBullet"/>
      </w:pPr>
      <w:r>
        <w:t>我的仓位：展示抵押资产、债务、健康因子、剩余可借额度和风险提示。</w:t>
      </w:r>
    </w:p>
    <w:p>
      <w:pPr>
        <w:pStyle w:val="ListBullet"/>
      </w:pPr>
      <w:r>
        <w:t>操作面板：完成存入、借款、还款、提取，并预估操作后的健康因子变化。</w:t>
      </w:r>
    </w:p>
    <w:p>
      <w:pPr>
        <w:pStyle w:val="ListBullet"/>
      </w:pPr>
      <w:r>
        <w:t>清算页：展示高风险账户和清算候选目标。</w:t>
      </w:r>
    </w:p>
    <w:p>
      <w:pPr>
        <w:pStyle w:val="Heading2"/>
      </w:pPr>
      <w:r>
        <w:rPr>
          <w:b w:val="0"/>
          <w:i w:val="0"/>
        </w:rPr>
        <w:t>9.2 管理后台</w:t>
      </w:r>
    </w:p>
    <w:p>
      <w:pPr>
        <w:pStyle w:val="ListBullet"/>
      </w:pPr>
      <w:r>
        <w:t>协议总览：TVL、总债务、可清算账户数、清算成功率。</w:t>
      </w:r>
    </w:p>
    <w:p>
      <w:pPr>
        <w:pStyle w:val="ListBullet"/>
      </w:pPr>
      <w:r>
        <w:t>市场配置：风险参数、利率模型、借贷开关。</w:t>
      </w:r>
    </w:p>
    <w:p>
      <w:pPr>
        <w:pStyle w:val="ListBullet"/>
      </w:pPr>
      <w:r>
        <w:t>风险监控：健康因子排序、异常仓位、预警列表。</w:t>
      </w:r>
    </w:p>
    <w:p>
      <w:pPr>
        <w:pStyle w:val="ListBullet"/>
      </w:pPr>
      <w:r>
        <w:t>清算任务页：任务状态、失败原因、执行统计。</w:t>
      </w:r>
    </w:p>
    <w:p>
      <w:pPr>
        <w:pStyle w:val="ListBullet"/>
      </w:pPr>
      <w:r>
        <w:t>事件日志页：关键链上事件和后台操作日志。</w:t>
      </w:r>
    </w:p>
    <w:p>
      <w:pPr>
        <w:pStyle w:val="Heading1"/>
      </w:pPr>
      <w:r>
        <w:rPr>
          <w:b w:val="0"/>
          <w:i w:val="0"/>
        </w:rPr>
        <w:t>10. 非功能需求与安全要求</w:t>
      </w:r>
    </w:p>
    <w:p>
      <w:pPr>
        <w:pStyle w:val="ListBullet"/>
      </w:pPr>
      <w:r>
        <w:t>安全性：防重入、权限隔离、价格有效性校验、紧急暂停、精度严格控制。</w:t>
      </w:r>
    </w:p>
    <w:p>
      <w:pPr>
        <w:pStyle w:val="ListBullet"/>
      </w:pPr>
      <w:r>
        <w:t>可扩展性：多资产、多市场、可替换利率模型和预言机适配器。</w:t>
      </w:r>
    </w:p>
    <w:p>
      <w:pPr>
        <w:pStyle w:val="ListBullet"/>
      </w:pPr>
      <w:r>
        <w:t>一致性：链上为事实来源，链下为可重建视图。</w:t>
      </w:r>
    </w:p>
    <w:p>
      <w:pPr>
        <w:pStyle w:val="ListBullet"/>
      </w:pPr>
      <w:r>
        <w:t>可观测性：完整日志、任务状态、失败重试与告警通知。</w:t>
      </w:r>
    </w:p>
    <w:p>
      <w:pPr>
        <w:pStyle w:val="ListBullet"/>
      </w:pPr>
      <w:r>
        <w:t>可测试性：重点覆盖健康因子、利率累计、清算逻辑、事件索引和幂等处理。</w:t>
      </w:r>
    </w:p>
    <w:p>
      <w:pPr>
        <w:pStyle w:val="Heading1"/>
      </w:pPr>
      <w:r>
        <w:rPr>
          <w:b w:val="0"/>
          <w:i w:val="0"/>
        </w:rPr>
        <w:t>11. 里程碑建议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vAlign w:val="center"/>
          </w:tcPr>
          <w:p>
            <w:r/>
            <w:r>
              <w:rPr>
                <w:b/>
              </w:rPr>
              <w:t>阶段</w:t>
            </w:r>
          </w:p>
        </w:tc>
        <w:tc>
          <w:tcPr>
            <w:tcW w:type="dxa" w:w="4816"/>
            <w:vAlign w:val="center"/>
          </w:tcPr>
          <w:p>
            <w:r/>
            <w:r>
              <w:rPr>
                <w:b/>
              </w:rPr>
              <w:t>目标</w:t>
            </w:r>
          </w:p>
        </w:tc>
      </w:tr>
      <w:tr>
        <w:tc>
          <w:tcPr>
            <w:tcW w:type="dxa" w:w="4816"/>
            <w:vAlign w:val="center"/>
          </w:tcPr>
          <w:p>
            <w:r/>
            <w:r>
              <w:rPr>
                <w:b w:val="0"/>
              </w:rPr>
              <w:t>Milestone 1</w:t>
            </w:r>
          </w:p>
        </w:tc>
        <w:tc>
          <w:tcPr>
            <w:tcW w:type="dxa" w:w="4816"/>
            <w:vAlign w:val="center"/>
          </w:tcPr>
          <w:p>
            <w:r/>
            <w:r>
              <w:rPr>
                <w:b w:val="0"/>
              </w:rPr>
              <w:t>单资产借贷闭环：deposit / borrow / repay / withdraw 与基础测试</w:t>
            </w:r>
          </w:p>
        </w:tc>
      </w:tr>
      <w:tr>
        <w:tc>
          <w:tcPr>
            <w:tcW w:type="dxa" w:w="4816"/>
            <w:vAlign w:val="center"/>
          </w:tcPr>
          <w:p>
            <w:r/>
            <w:r>
              <w:rPr>
                <w:b w:val="0"/>
              </w:rPr>
              <w:t>Milestone 2</w:t>
            </w:r>
          </w:p>
        </w:tc>
        <w:tc>
          <w:tcPr>
            <w:tcW w:type="dxa" w:w="4816"/>
            <w:vAlign w:val="center"/>
          </w:tcPr>
          <w:p>
            <w:r/>
            <w:r>
              <w:rPr>
                <w:b w:val="0"/>
              </w:rPr>
              <w:t>风控闭环：预言机、健康因子、清算逻辑</w:t>
            </w:r>
          </w:p>
        </w:tc>
      </w:tr>
      <w:tr>
        <w:tc>
          <w:tcPr>
            <w:tcW w:type="dxa" w:w="4816"/>
            <w:vAlign w:val="center"/>
          </w:tcPr>
          <w:p>
            <w:r/>
            <w:r>
              <w:rPr>
                <w:b w:val="0"/>
              </w:rPr>
              <w:t>Milestone 3</w:t>
            </w:r>
          </w:p>
        </w:tc>
        <w:tc>
          <w:tcPr>
            <w:tcW w:type="dxa" w:w="4816"/>
            <w:vAlign w:val="center"/>
          </w:tcPr>
          <w:p>
            <w:r/>
            <w:r>
              <w:rPr>
                <w:b w:val="0"/>
              </w:rPr>
              <w:t>链下服务闭环：索引器、仓位聚合、风险扫描、API</w:t>
            </w:r>
          </w:p>
        </w:tc>
      </w:tr>
      <w:tr>
        <w:tc>
          <w:tcPr>
            <w:tcW w:type="dxa" w:w="4816"/>
            <w:vAlign w:val="center"/>
          </w:tcPr>
          <w:p>
            <w:r/>
            <w:r>
              <w:rPr>
                <w:b w:val="0"/>
              </w:rPr>
              <w:t>Milestone 4</w:t>
            </w:r>
          </w:p>
        </w:tc>
        <w:tc>
          <w:tcPr>
            <w:tcW w:type="dxa" w:w="4816"/>
            <w:vAlign w:val="center"/>
          </w:tcPr>
          <w:p>
            <w:r/>
            <w:r>
              <w:rPr>
                <w:b w:val="0"/>
              </w:rPr>
              <w:t>自动执行闭环：清算任务系统与清算机器人</w:t>
            </w:r>
          </w:p>
        </w:tc>
      </w:tr>
      <w:tr>
        <w:tc>
          <w:tcPr>
            <w:tcW w:type="dxa" w:w="4816"/>
            <w:vAlign w:val="center"/>
          </w:tcPr>
          <w:p>
            <w:r/>
            <w:r>
              <w:rPr>
                <w:b w:val="0"/>
              </w:rPr>
              <w:t>Milestone 5</w:t>
            </w:r>
          </w:p>
        </w:tc>
        <w:tc>
          <w:tcPr>
            <w:tcW w:type="dxa" w:w="4816"/>
            <w:vAlign w:val="center"/>
          </w:tcPr>
          <w:p>
            <w:r/>
            <w:r>
              <w:rPr>
                <w:b w:val="0"/>
              </w:rPr>
              <w:t>前台和后台完整展示</w:t>
            </w:r>
          </w:p>
        </w:tc>
      </w:tr>
      <w:tr>
        <w:tc>
          <w:tcPr>
            <w:tcW w:type="dxa" w:w="4816"/>
            <w:vAlign w:val="center"/>
          </w:tcPr>
          <w:p>
            <w:r/>
            <w:r>
              <w:rPr>
                <w:b w:val="0"/>
              </w:rPr>
              <w:t>Milestone 6</w:t>
            </w:r>
          </w:p>
        </w:tc>
        <w:tc>
          <w:tcPr>
            <w:tcW w:type="dxa" w:w="4816"/>
            <w:vAlign w:val="center"/>
          </w:tcPr>
          <w:p>
            <w:r/>
            <w:r>
              <w:rPr>
                <w:b w:val="0"/>
              </w:rPr>
              <w:t>工程化完善：Docker、脚本、文档、测试覆盖</w:t>
            </w:r>
          </w:p>
        </w:tc>
      </w:tr>
    </w:tbl>
    <w:p>
      <w:pPr>
        <w:pStyle w:val="Heading1"/>
      </w:pPr>
      <w:r>
        <w:rPr>
          <w:b w:val="0"/>
          <w:i w:val="0"/>
        </w:rPr>
        <w:t>12. 下一步建议</w:t>
      </w:r>
    </w:p>
    <w:p>
      <w:pPr>
        <w:pStyle w:val="ListBullet"/>
      </w:pPr>
      <w:r>
        <w:t>先依据本文档固定数据库表结构和 Go 项目脚手架。</w:t>
      </w:r>
    </w:p>
    <w:p>
      <w:pPr>
        <w:pStyle w:val="ListBullet"/>
      </w:pPr>
      <w:r>
        <w:t>再落地合约接口、事件与存储结构，优先跑通单资产借贷闭环。</w:t>
      </w:r>
    </w:p>
    <w:p>
      <w:pPr>
        <w:pStyle w:val="ListBullet"/>
      </w:pPr>
      <w:r>
        <w:t>然后实现索引器和仓位服务，确保链上事件到链下视图的全链路打通。</w:t>
      </w:r>
    </w:p>
    <w:p>
      <w:pPr>
        <w:pStyle w:val="ListBullet"/>
      </w:pPr>
      <w:r>
        <w:t>最后引入风险引擎、清算机器人、前后台页面和部署脚本。</w:t>
      </w:r>
    </w:p>
    <w:sectPr w:rsidR="00FC693F" w:rsidRPr="0006063C" w:rsidSect="00034616">
      <w:pgSz w:w="12240" w:h="15840"/>
      <w:pgMar w:top="1247" w:right="1247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hd w:fill="F3F4F6"/>
    </w:pPr>
    <w:rPr>
      <w:rFonts w:ascii="Consolas" w:hAnsi="Consolas" w:eastAsia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