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Calibri" w:hAnsi="Calibri"/>
                <w:b/>
                <w:i w:val="0"/>
                <w:color w:val="1F3440"/>
                <w:sz w:val="21"/>
              </w:rPr>
              <w:t>Avance al 27 de octubre de 2026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FIX&amp;GO avanza como MVP para conectar clientes y prestadores de servicios de gas, electricidad y agua en Santiago. El equipo completó la definición, exposición, base local, flujo inicial y entrega de avance. El flujo completo está en desarrollo.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El recorrido demostrable actual permite iniciar sesión, solicitar un servicio a un prestador, aceptar el trabajo, registrar una cotización y materiales, aprobar los costos, calcular el total y generar un cobro y comprobante de demostración. Las pruebas se han ejecutado en navegador con vista móvil; la validación física en iOS y Android sigue pendiente.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El backend monolítico en Django y Django REST Framework concentra reglas, permisos y persistencia local. La interfaz se desarrolla con React Native, Expo y TypeScript. No se ha integrado una pasarela de pago real, despliegue permanente ni publicación en tiendas, porque esos elementos quedan fuera del alcance de esta etapa académica.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Calibri" w:hAnsi="Calibri"/>
                <w:b/>
                <w:i w:val="0"/>
                <w:color w:val="1F3440"/>
                <w:sz w:val="20"/>
              </w:rPr>
              <w:t>Objetivo general vigente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Desarrollar y validar, al cierre de la semana 15, un MVP móvil funcional de FIX&amp;GO para iOS y Android que permita completar el recorrido de contratación entre cliente y prestador de servicios de gas, electricidad y agua en Santiago, conservando los datos en un entorno local.</w:t>
            </w:r>
          </w:p>
          <w:p>
            <w:pPr>
              <w:spacing w:before="20" w:after="60" w:line="252" w:lineRule="auto"/>
            </w:pPr>
            <w:r>
              <w:rPr>
                <w:rFonts w:ascii="Calibri" w:hAnsi="Calibri"/>
                <w:b/>
                <w:i w:val="0"/>
                <w:color w:val="1F3440"/>
                <w:sz w:val="20"/>
              </w:rPr>
              <w:t>Progreso de objetivos específicos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Definición de visión, usuarios, alcance, backlog y criterios: completada.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Arquitectura, modelo relacional, diagramas y requisitos no funcionales: completados y documentados.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Implementación de registro, acceso por rol, solicitud, aceptación, cotización, materiales y cobro simulado: funcional en el recorrido web adaptable; cierre y validación integral aún en curso.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Ejecución local reproducible: disponible con Django y guía manual; Docker no se usa actualmente.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Validación: pruebas automatizadas ejecutadas; falta prueba física en iOS y Android y validación manual del equipo.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Se mantiene Kanban como metodología de seguimiento, con Trello para visualizar tareas y GitHub para versionar código y documentación. La revisión formal se realiza los miércoles en clases y se complementa con coordinación por WhatsApp.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En la práctica, el tablero no se ha revisado con la frecuencia esperada. Por ello se acuerda reforzar la disciplina de seguimiento con reuniones breves de 30 minutos, idealmente diarias durante los periodos críticos, y una actualización mínima del tablero cada dos días.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El trabajo se ejecuta de forma incremental: definición → base local → flujo inicial → flujo completo → validación → entrega. Cada incremento se comprueba antes de avanzar, manteniendo un monolito modular adecuado al alcance del MVP y al tiempo académico disponible.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top"/>
          </w:tcPr>
          <w:p>
            <w:pPr>
              <w:spacing w:after="60" w:before="0" w:line="252" w:lineRule="auto"/>
              <w:ind w:left="173" w:hanging="173"/>
            </w:pPr>
            <w:r/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Repositorio con backend Django/DRF, aplicación React Native/Expo/TypeScript, base SQLite y documentación técnica.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Capturas del prototipo web adaptable: exploración de servicios, solicitud/cotización y resumen de cobro simulado.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Diagramas de componentes, entidad-relación, casos de uso y secuencia.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Resultados automatizados disponibles: 50 pruebas de backend, 33 pruebas de integración API, 8 pruebas del cliente HTTP móvil, validación TypeScript y exportaciones web/iOS/Android.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Estas evidencias permiten observar la integración entre interfaz, API y datos. No sustituyen la validación manual física en ambos sistemas móviles, que queda registrada como actividad pendiente.</w:t>
            </w:r>
          </w:p>
          <w:p>
            <w:pPr>
              <w:spacing w:before="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37560" cy="1877378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18773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i/>
                <w:color w:val="464C50"/>
                <w:sz w:val="16"/>
              </w:rPr>
              <w:t>Figura 1. Solicitud y cotización en el prototipo web adaptable de FIX&amp;GO.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  <w:tblHeader w:val="true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  <w:tblHeader w:val="true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 w:hRule="auto"/>
        </w:trPr>
        <w:tc>
          <w:tcPr>
            <w:tcW w:w="132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Gestión de proyectos y metodología ágil</w:t>
            </w:r>
          </w:p>
        </w:tc>
        <w:tc>
          <w:tcPr>
            <w:tcW w:w="1077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1. Definición del proyecto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Guía 1.5, Trello, reuniones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Sem. 1–3</w:t>
            </w:r>
          </w:p>
        </w:tc>
        <w:tc>
          <w:tcPr>
            <w:tcW w:w="1275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Daniel; valida el equipo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Alcance MVP y roles definidos.</w:t>
            </w:r>
          </w:p>
        </w:tc>
        <w:tc>
          <w:tcPr>
            <w:tcW w:w="141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/>
                <w:color w:val="1F3440"/>
                <w:sz w:val="12"/>
              </w:rPr>
              <w:t>Completado</w:t>
            </w:r>
          </w:p>
        </w:tc>
        <w:tc>
          <w:tcPr>
            <w:tcW w:w="850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Sin cambio de alcance.</w:t>
            </w:r>
          </w:p>
        </w:tc>
      </w:tr>
      <w:tr>
        <w:trPr>
          <w:trHeight w:val="2410" w:hRule="auto"/>
        </w:trPr>
        <w:trPr/>
        <w:tc>
          <w:tcPr>
            <w:tcW w:w="132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Comunicación y gestión de proyectos</w:t>
            </w:r>
          </w:p>
        </w:tc>
        <w:tc>
          <w:tcPr>
            <w:tcW w:w="1077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2. Exposición Fase 1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PPT, guía, evidencias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Sem. 4</w:t>
            </w:r>
          </w:p>
        </w:tc>
        <w:tc>
          <w:tcPr>
            <w:tcW w:w="1275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Daniel y Felipe; presenta el equipo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EVA 1 se realizó una semana después.</w:t>
            </w:r>
          </w:p>
        </w:tc>
        <w:tc>
          <w:tcPr>
            <w:tcW w:w="141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/>
                <w:color w:val="1F3440"/>
                <w:sz w:val="12"/>
              </w:rPr>
              <w:t>Completado</w:t>
            </w:r>
          </w:p>
        </w:tc>
        <w:tc>
          <w:tcPr>
            <w:tcW w:w="850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Ajuste de calendario docente de +1 semana.</w:t>
            </w:r>
          </w:p>
        </w:tc>
      </w:tr>
      <w:tr>
        <w:trPr>
          <w:trHeight w:val="2410" w:hRule="auto"/>
        </w:trPr>
        <w:trPr/>
        <w:tc>
          <w:tcPr>
            <w:tcW w:w="132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Modelado de datos y arquitectura</w:t>
            </w:r>
          </w:p>
        </w:tc>
        <w:tc>
          <w:tcPr>
            <w:tcW w:w="1077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3. Base local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Django, DRF, SQLite, Mac M1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Sem. 5–6</w:t>
            </w:r>
          </w:p>
        </w:tc>
        <w:tc>
          <w:tcPr>
            <w:tcW w:w="1275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Benjamin; Daniel apoya planificación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Trabajo local sin costos y arquitectura documentada.</w:t>
            </w:r>
          </w:p>
        </w:tc>
        <w:tc>
          <w:tcPr>
            <w:tcW w:w="141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/>
                <w:color w:val="1F3440"/>
                <w:sz w:val="12"/>
              </w:rPr>
              <w:t>Completado</w:t>
            </w:r>
          </w:p>
        </w:tc>
        <w:tc>
          <w:tcPr>
            <w:tcW w:w="850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Se ejecuta Django directo; Docker no es requisito actual.</w:t>
            </w:r>
          </w:p>
        </w:tc>
      </w:tr>
      <w:tr>
        <w:trPr>
          <w:trHeight w:val="2410" w:hRule="auto"/>
        </w:trPr>
        <w:trPr/>
        <w:tc>
          <w:tcPr>
            <w:tcW w:w="132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Desarrollo de software</w:t>
            </w:r>
          </w:p>
        </w:tc>
        <w:tc>
          <w:tcPr>
            <w:tcW w:w="1077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4. Flujo inicial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React Native, Expo, TypeScript, API REST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Sem. 7–9</w:t>
            </w:r>
          </w:p>
        </w:tc>
        <w:tc>
          <w:tcPr>
            <w:tcW w:w="1275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Benjamin Olmedo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Registro, roles, solicitud y aceptación disponibles.</w:t>
            </w:r>
          </w:p>
        </w:tc>
        <w:tc>
          <w:tcPr>
            <w:tcW w:w="141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/>
                <w:color w:val="1F3440"/>
                <w:sz w:val="12"/>
              </w:rPr>
              <w:t>Completado</w:t>
            </w:r>
          </w:p>
        </w:tc>
        <w:tc>
          <w:tcPr>
            <w:tcW w:w="850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Sin cambio de alcance.</w:t>
            </w:r>
          </w:p>
        </w:tc>
      </w:tr>
      <w:tr>
        <w:trPr>
          <w:trHeight w:val="2410" w:hRule="auto"/>
        </w:trPr>
        <w:trPr/>
        <w:tc>
          <w:tcPr>
            <w:tcW w:w="132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QA, desarrollo y documentación</w:t>
            </w:r>
          </w:p>
        </w:tc>
        <w:tc>
          <w:tcPr>
            <w:tcW w:w="1077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5. Entrega de avance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Código, capturas, diagramas, informe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Sem. 10</w:t>
            </w:r>
          </w:p>
        </w:tc>
        <w:tc>
          <w:tcPr>
            <w:tcW w:w="1275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Benjamin código; Daniel y Felipe evidencias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EVA 2 también se desplazó una semana.</w:t>
            </w:r>
          </w:p>
        </w:tc>
        <w:tc>
          <w:tcPr>
            <w:tcW w:w="141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/>
                <w:color w:val="1F3440"/>
                <w:sz w:val="12"/>
              </w:rPr>
              <w:t>Completado</w:t>
            </w:r>
          </w:p>
        </w:tc>
        <w:tc>
          <w:tcPr>
            <w:tcW w:w="850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Ajuste de calendarización, sin eliminar actividades.</w:t>
            </w:r>
          </w:p>
        </w:tc>
      </w:tr>
      <w:tr>
        <w:trPr>
          <w:trHeight w:val="2410" w:hRule="auto"/>
        </w:trPr>
        <w:trPr/>
        <w:tc>
          <w:tcPr>
            <w:tcW w:w="132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Desarrollo e integración</w:t>
            </w:r>
          </w:p>
        </w:tc>
        <w:tc>
          <w:tcPr>
            <w:tcW w:w="1077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6. Completar flujo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API, UI, SQLite, pruebas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Sem. 11–12</w:t>
            </w:r>
          </w:p>
        </w:tc>
        <w:tc>
          <w:tcPr>
            <w:tcW w:w="1275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Benjamin Olmedo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Cotización, materiales, total y pago simulado integrados; quedan decisiones de cierre.</w:t>
            </w:r>
          </w:p>
        </w:tc>
        <w:tc>
          <w:tcPr>
            <w:tcW w:w="141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/>
                <w:color w:val="1F3440"/>
                <w:sz w:val="12"/>
              </w:rPr>
              <w:t>En curso</w:t>
            </w:r>
          </w:p>
        </w:tc>
        <w:tc>
          <w:tcPr>
            <w:tcW w:w="850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Cerrar estados finales, permisos y consistencia del recorrido.</w:t>
            </w:r>
          </w:p>
        </w:tc>
      </w:tr>
      <w:tr>
        <w:trPr>
          <w:trHeight w:val="2410" w:hRule="auto"/>
        </w:trPr>
        <w:trPr/>
        <w:tc>
          <w:tcPr>
            <w:tcW w:w="132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Aseguramiento de calidad</w:t>
            </w:r>
          </w:p>
        </w:tc>
        <w:tc>
          <w:tcPr>
            <w:tcW w:w="1077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7. Validación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Casos de prueba, Expo Go, iOS/Android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Sem. 13–14</w:t>
            </w:r>
          </w:p>
        </w:tc>
        <w:tc>
          <w:tcPr>
            <w:tcW w:w="1275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Felipe pruebas; Benjamin correcciones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Automatización disponible; falta prueba manual física en ambos sistemas.</w:t>
            </w:r>
          </w:p>
        </w:tc>
        <w:tc>
          <w:tcPr>
            <w:tcW w:w="141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/>
                <w:color w:val="1F3440"/>
                <w:sz w:val="12"/>
              </w:rPr>
              <w:t>No iniciado</w:t>
            </w:r>
          </w:p>
        </w:tc>
        <w:tc>
          <w:tcPr>
            <w:tcW w:w="850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Preparar matriz, responsables y dispositivos reales.</w:t>
            </w:r>
          </w:p>
        </w:tc>
      </w:tr>
      <w:tr>
        <w:trPr>
          <w:trHeight w:val="2410" w:hRule="auto"/>
        </w:trPr>
        <w:trPr/>
        <w:tc>
          <w:tcPr>
            <w:tcW w:w="132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Integración y entrega</w:t>
            </w:r>
          </w:p>
        </w:tc>
        <w:tc>
          <w:tcPr>
            <w:tcW w:w="1077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8. Entrega MVP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Repositorio, app, manual y evidencia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Sem. 15</w:t>
            </w:r>
          </w:p>
        </w:tc>
        <w:tc>
          <w:tcPr>
            <w:tcW w:w="1275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Benjamin app; Daniel/Felipe entrega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Depende del cierre y validación del flujo.</w:t>
            </w:r>
          </w:p>
        </w:tc>
        <w:tc>
          <w:tcPr>
            <w:tcW w:w="141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/>
                <w:color w:val="1F3440"/>
                <w:sz w:val="12"/>
              </w:rPr>
              <w:t>No iniciado</w:t>
            </w:r>
          </w:p>
        </w:tc>
        <w:tc>
          <w:tcPr>
            <w:tcW w:w="850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Mantener pago real, despliegue permanente y tiendas fuera del MVP.</w:t>
            </w:r>
          </w:p>
        </w:tc>
      </w:tr>
      <w:tr>
        <w:trPr>
          <w:trHeight w:val="2410" w:hRule="auto"/>
        </w:trPr>
        <w:trPr/>
        <w:tc>
          <w:tcPr>
            <w:tcW w:w="132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Comunicación profesional</w:t>
            </w:r>
          </w:p>
        </w:tc>
        <w:tc>
          <w:tcPr>
            <w:tcW w:w="1077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9. Preparar defensa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PPT, guion, demo y respaldo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Sem. 16</w:t>
            </w:r>
          </w:p>
        </w:tc>
        <w:tc>
          <w:tcPr>
            <w:tcW w:w="1275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Daniel y Felipe; ensayo de equipo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Usar demo estable y evidencias verificables.</w:t>
            </w:r>
          </w:p>
        </w:tc>
        <w:tc>
          <w:tcPr>
            <w:tcW w:w="141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/>
                <w:color w:val="1F3440"/>
                <w:sz w:val="12"/>
              </w:rPr>
              <w:t>No iniciado</w:t>
            </w:r>
          </w:p>
        </w:tc>
        <w:tc>
          <w:tcPr>
            <w:tcW w:w="850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Ensayar ruta principal y contingencia web local.</w:t>
            </w:r>
          </w:p>
        </w:tc>
      </w:tr>
      <w:tr>
        <w:trPr>
          <w:trHeight w:val="2410" w:hRule="auto"/>
        </w:trPr>
        <w:trPr/>
        <w:tc>
          <w:tcPr>
            <w:tcW w:w="132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Presentación y defensa</w:t>
            </w:r>
          </w:p>
        </w:tc>
        <w:tc>
          <w:tcPr>
            <w:tcW w:w="1077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10. Defensa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Demo, PPT, repositorio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Sem. 17–18</w:t>
            </w:r>
          </w:p>
        </w:tc>
        <w:tc>
          <w:tcPr>
            <w:tcW w:w="1275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Todo el equipo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Cada integrante expone sus aportes.</w:t>
            </w:r>
          </w:p>
        </w:tc>
        <w:tc>
          <w:tcPr>
            <w:tcW w:w="141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/>
                <w:color w:val="1F3440"/>
                <w:sz w:val="12"/>
              </w:rPr>
              <w:t>No iniciado</w:t>
            </w:r>
          </w:p>
        </w:tc>
        <w:tc>
          <w:tcPr>
            <w:tcW w:w="850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Sin ajuste.</w:t>
            </w:r>
          </w:p>
        </w:tc>
      </w:tr>
      <w:tr>
        <w:trPr>
          <w:trHeight w:val="2410" w:hRule="auto"/>
        </w:trPr>
        <w:trPr/>
        <w:tc>
          <w:tcPr>
            <w:tcW w:w="132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Gestión, QA y documentación</w:t>
            </w:r>
          </w:p>
        </w:tc>
        <w:tc>
          <w:tcPr>
            <w:tcW w:w="1077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11. Apoyo continuo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Trello, GitHub, WhatsApp, documentos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Sem. 5–15</w:t>
            </w:r>
          </w:p>
        </w:tc>
        <w:tc>
          <w:tcPr>
            <w:tcW w:w="1275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Daniel informes; Felipe documentación/QA; equipo</w:t>
            </w:r>
          </w:p>
        </w:tc>
        <w:tc>
          <w:tcPr>
            <w:tcW w:w="1276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Falta mayor frecuencia de comunicación y actualización del tablero.</w:t>
            </w:r>
          </w:p>
        </w:tc>
        <w:tc>
          <w:tcPr>
            <w:tcW w:w="1418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/>
                <w:color w:val="1F3440"/>
                <w:sz w:val="12"/>
              </w:rPr>
              <w:t>En curso</w:t>
            </w:r>
          </w:p>
        </w:tc>
        <w:tc>
          <w:tcPr>
            <w:tcW w:w="850" w:type="dxa"/>
            <w:vAlign w:val="center"/>
          </w:tcPr>
          <w:p>
            <w:pPr>
              <w:spacing w:after="0" w:line="228" w:lineRule="auto"/>
            </w:pPr>
            <w:r/>
            <w:r>
              <w:rPr>
                <w:rFonts w:ascii="Calibri" w:hAnsi="Calibri"/>
                <w:b w:val="0"/>
                <w:color w:val="1F3440"/>
                <w:sz w:val="12"/>
              </w:rPr>
              <w:t>Reunión breve diaria en periodos críticos; tablero cada 2 días y revisión miércoles.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hRule="auto"/>
        </w:trPr>
        <w:tc>
          <w:tcPr>
            <w:tcW w:w="5000" w:type="pct"/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Calibri" w:hAnsi="Calibri"/>
                <w:b/>
                <w:i w:val="0"/>
                <w:color w:val="1F3440"/>
                <w:sz w:val="21"/>
              </w:rPr>
              <w:t>Factores que han facilitado y/o dificultado el desarrollo del plan de trabajo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Han facilitado el avance el conocimiento previo de Django, el uso responsable de herramientas de inteligencia artificial como apoyo, el trabajo local sin costos de infraestructura y la documentación técnica ya construida. La arquitectura monolítica modular reduce la complejidad operativa y permite que Benjamin concentre el desarrollo e integración.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Las principales dificultades son los cambios en decisiones funcionales durante el desarrollo, la baja frecuencia de comunicación y la falta de pruebas manuales en dispositivos iOS y Android. Benjamin dedica aproximadamente cinco horas semanales, distribuidas según su práctica y responsabilidades personales, por lo que la priorización del recorrido principal es crítica.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hRule="auto"/>
        </w:trPr>
        <w:tc>
          <w:tcPr>
            <w:tcW w:w="5000" w:type="pct"/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Calibri" w:hAnsi="Calibri"/>
                <w:b/>
                <w:i w:val="0"/>
                <w:color w:val="1F3440"/>
                <w:sz w:val="21"/>
              </w:rPr>
              <w:t>Actividades ajustadas o eliminadas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No se eliminaron actividades ni se cambió el alcance académico del proyecto. Las evaluaciones de Fase 1 y Fase 2 se movieron una semana por calendarización docente y disponibilidad de tiempo, por lo que se desplazaron los hitos asociados sin modificar su objetivo.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El pago real, el despliegue permanente y la publicación en tiendas permanecen fuera del alcance del MVP. La ejecución local con Django, la base SQLite y el pago simulado fueron decisiones planificadas para demostrar el flujo sin costos. El mapa de prestadores cercanos, similar a Uber, se mantiene como mejora futura; el MVP actual dirige la solicitud a un prestador específico.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hRule="auto"/>
        </w:trPr>
        <w:tc>
          <w:tcPr>
            <w:tcW w:w="5000" w:type="pct"/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Calibri" w:hAnsi="Calibri"/>
                <w:b/>
                <w:i w:val="0"/>
                <w:color w:val="1F3440"/>
                <w:sz w:val="21"/>
              </w:rPr>
              <w:t>Actividades no iniciadas o retrasadas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La validación manual, la entrega final del MVP, la preparación de defensa y la defensa aún no se inician porque corresponden a semanas posteriores. El flujo completo continúa en curso debido a decisiones funcionales que han cambiado el procedimiento de cotización, materiales y cierre.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Para recuperar y proteger el plan se aplicarán tres medidas: (1) reunión diaria de al menos 30 minutos durante el cierre para revisar software y documentación; (2) actualización de Trello cada dos días y revisión conjunta los miércoles; y (3) matriz de pruebas manuales con responsables, evidencia y ejecución en iOS y Android antes de la entrega. El objetivo es completar el recorrido cliente–prestador, conservar los datos, respetar permisos por rol y eliminar errores bloqueantes.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