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drawing>
          <wp:inline xmlns:a="http://schemas.openxmlformats.org/drawingml/2006/main" xmlns:pic="http://schemas.openxmlformats.org/drawingml/2006/picture">
            <wp:extent cx="2011680" cy="495021"/>
            <wp:docPr id="1" name="Picture 1"/>
            <wp:cNvGraphicFramePr>
              <a:graphicFrameLocks noChangeAspect="1"/>
            </wp:cNvGraphicFramePr>
            <a:graphic>
              <a:graphicData uri="http://schemas.openxmlformats.org/drawingml/2006/picture">
                <pic:pic>
                  <pic:nvPicPr>
                    <pic:cNvPr id="0" name="aa60b441c530c7af00b0f878e998318393d22081.png"/>
                    <pic:cNvPicPr/>
                  </pic:nvPicPr>
                  <pic:blipFill>
                    <a:blip r:embed="rId11"/>
                    <a:stretch>
                      <a:fillRect/>
                    </a:stretch>
                  </pic:blipFill>
                  <pic:spPr>
                    <a:xfrm>
                      <a:off x="0" y="0"/>
                      <a:ext cx="2011680" cy="495021"/>
                    </a:xfrm>
                    <a:prstGeom prst="rect"/>
                  </pic:spPr>
                </pic:pic>
              </a:graphicData>
            </a:graphic>
          </wp:inline>
        </w:drawing>
      </w:r>
    </w:p>
    <w:p>
      <w:pPr>
        <w:pStyle w:val="Title"/>
        <w:jc w:val="center"/>
      </w:pPr>
      <w:r>
        <w:t>INFORME INDIVIDUAL</w:t>
        <w:br/>
        <w:t>DEFINICIÓN DEL PROYECTO APT</w:t>
      </w:r>
    </w:p>
    <w:p>
      <w:pPr>
        <w:jc w:val="center"/>
      </w:pPr>
      <w:r>
        <w:rPr>
          <w:rFonts w:ascii="Arial" w:hAnsi="Arial"/>
          <w:b/>
          <w:color w:val="F5A800"/>
          <w:sz w:val="28"/>
        </w:rPr>
        <w:t>FIX&amp;GO · MVP móvil · Fase 1</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0B3041"/>
          </w:tcPr>
          <w:p>
            <w:pPr>
              <w:spacing w:after="0"/>
            </w:pPr>
            <w:r/>
            <w:r>
              <w:rPr>
                <w:rFonts w:ascii="Arial" w:hAnsi="Arial"/>
                <w:b/>
                <w:color w:val="FFFFFF"/>
                <w:sz w:val="18"/>
              </w:rPr>
              <w:t>Estudiante</w:t>
            </w:r>
          </w:p>
        </w:tc>
        <w:tc>
          <w:tcPr>
            <w:tcW w:type="dxa" w:w="4873"/>
            <w:vAlign w:val="center"/>
          </w:tcPr>
          <w:p>
            <w:pPr>
              <w:spacing w:after="0"/>
            </w:pPr>
            <w:r/>
            <w:r>
              <w:rPr>
                <w:rFonts w:ascii="Arial" w:hAnsi="Arial"/>
                <w:b w:val="0"/>
                <w:sz w:val="18"/>
              </w:rPr>
              <w:t>Daniel Baeza</w:t>
            </w:r>
          </w:p>
        </w:tc>
      </w:tr>
      <w:tr>
        <w:tc>
          <w:tcPr>
            <w:tcW w:type="dxa" w:w="4873"/>
            <w:vAlign w:val="center"/>
            <w:shd w:fill="0B3041"/>
          </w:tcPr>
          <w:p>
            <w:pPr>
              <w:spacing w:after="0"/>
            </w:pPr>
            <w:r/>
            <w:r>
              <w:rPr>
                <w:rFonts w:ascii="Arial" w:hAnsi="Arial"/>
                <w:b/>
                <w:color w:val="FFFFFF"/>
                <w:sz w:val="18"/>
              </w:rPr>
              <w:t>Carrera</w:t>
            </w:r>
          </w:p>
        </w:tc>
        <w:tc>
          <w:tcPr>
            <w:tcW w:type="dxa" w:w="4873"/>
            <w:vAlign w:val="center"/>
          </w:tcPr>
          <w:p>
            <w:pPr>
              <w:spacing w:after="0"/>
            </w:pPr>
            <w:r/>
            <w:r>
              <w:rPr>
                <w:rFonts w:ascii="Arial" w:hAnsi="Arial"/>
                <w:b w:val="0"/>
                <w:sz w:val="18"/>
              </w:rPr>
              <w:t>Ingeniería Informática</w:t>
            </w:r>
          </w:p>
        </w:tc>
      </w:tr>
      <w:tr>
        <w:tc>
          <w:tcPr>
            <w:tcW w:type="dxa" w:w="4873"/>
            <w:vAlign w:val="center"/>
            <w:shd w:fill="0B3041"/>
          </w:tcPr>
          <w:p>
            <w:pPr>
              <w:spacing w:after="0"/>
            </w:pPr>
            <w:r/>
            <w:r>
              <w:rPr>
                <w:rFonts w:ascii="Arial" w:hAnsi="Arial"/>
                <w:b/>
                <w:color w:val="FFFFFF"/>
                <w:sz w:val="18"/>
              </w:rPr>
              <w:t>Sede</w:t>
            </w:r>
          </w:p>
        </w:tc>
        <w:tc>
          <w:tcPr>
            <w:tcW w:type="dxa" w:w="4873"/>
            <w:vAlign w:val="center"/>
          </w:tcPr>
          <w:p>
            <w:pPr>
              <w:spacing w:after="0"/>
            </w:pPr>
            <w:r/>
            <w:r>
              <w:rPr>
                <w:rFonts w:ascii="Arial" w:hAnsi="Arial"/>
                <w:b w:val="0"/>
                <w:sz w:val="18"/>
              </w:rPr>
              <w:t>Duoc UC Plaza Oeste</w:t>
            </w:r>
          </w:p>
        </w:tc>
      </w:tr>
      <w:tr>
        <w:tc>
          <w:tcPr>
            <w:tcW w:type="dxa" w:w="4873"/>
            <w:vAlign w:val="center"/>
            <w:shd w:fill="0B3041"/>
          </w:tcPr>
          <w:p>
            <w:pPr>
              <w:spacing w:after="0"/>
            </w:pPr>
            <w:r/>
            <w:r>
              <w:rPr>
                <w:rFonts w:ascii="Arial" w:hAnsi="Arial"/>
                <w:b/>
                <w:color w:val="FFFFFF"/>
                <w:sz w:val="18"/>
              </w:rPr>
              <w:t>Asignatura</w:t>
            </w:r>
          </w:p>
        </w:tc>
        <w:tc>
          <w:tcPr>
            <w:tcW w:type="dxa" w:w="4873"/>
            <w:vAlign w:val="center"/>
          </w:tcPr>
          <w:p>
            <w:pPr>
              <w:spacing w:after="0"/>
            </w:pPr>
            <w:r/>
            <w:r>
              <w:rPr>
                <w:rFonts w:ascii="Arial" w:hAnsi="Arial"/>
                <w:b w:val="0"/>
                <w:sz w:val="18"/>
              </w:rPr>
              <w:t>Capstone · PTY4614</w:t>
            </w:r>
          </w:p>
        </w:tc>
      </w:tr>
      <w:tr>
        <w:tc>
          <w:tcPr>
            <w:tcW w:type="dxa" w:w="4873"/>
            <w:vAlign w:val="center"/>
            <w:shd w:fill="0B3041"/>
          </w:tcPr>
          <w:p>
            <w:pPr>
              <w:spacing w:after="0"/>
            </w:pPr>
            <w:r/>
            <w:r>
              <w:rPr>
                <w:rFonts w:ascii="Arial" w:hAnsi="Arial"/>
                <w:b/>
                <w:color w:val="FFFFFF"/>
                <w:sz w:val="18"/>
              </w:rPr>
              <w:t>Fecha</w:t>
            </w:r>
          </w:p>
        </w:tc>
        <w:tc>
          <w:tcPr>
            <w:tcW w:type="dxa" w:w="4873"/>
            <w:vAlign w:val="center"/>
          </w:tcPr>
          <w:p>
            <w:pPr>
              <w:spacing w:after="0"/>
            </w:pPr>
            <w:r/>
            <w:r>
              <w:rPr>
                <w:rFonts w:ascii="Arial" w:hAnsi="Arial"/>
                <w:b w:val="0"/>
                <w:sz w:val="18"/>
              </w:rPr>
              <w:t>9 de septiembre de 2026</w:t>
            </w:r>
          </w:p>
        </w:tc>
      </w:tr>
    </w:tbl>
    <w:p>
      <w:r>
        <w:br w:type="page"/>
      </w:r>
    </w:p>
    <w:p>
      <w:pPr>
        <w:pStyle w:val="Heading1"/>
        <w:spacing w:before="200" w:after="100"/>
      </w:pPr>
      <w:r>
        <w:t>Resumen</w:t>
      </w:r>
    </w:p>
    <w:p>
      <w:pPr>
        <w:jc w:val="both"/>
      </w:pPr>
      <w:r>
        <w:rPr>
          <w:rFonts w:ascii="Arial" w:hAnsi="Arial"/>
          <w:sz w:val="21"/>
        </w:rPr>
        <w:t>FIX&amp;GO es un proyecto APT que propone construir un producto mínimo viable móvil para facilitar una contratación simulada de servicios técnicos del hogar en Santiago. El recorrido conecta dos roles: una persona que necesita un servicio y un prestador. El cliente podrá registrarse, iniciar sesión, buscar por categoría y comuna, revisar perfiles, enviar una solicitud, recibir una cotización, seguir el estado y valorar el resultado. El prestador podrá revisar solicitudes, cotizar y actualizar estados. Los pagos, las credenciales profesionales y la mensajería externa serán simulados y se identificarán como demostración académica. Mantener la visión del producto, requisitos, historias de usuario, backlog, tablero Kanban, planificación, acuerdos, riesgos, informes y registro de retroalimentación docente.</w:t>
      </w:r>
    </w:p>
    <w:p>
      <w:pPr>
        <w:jc w:val="both"/>
      </w:pPr>
      <w:r>
        <w:rPr>
          <w:rFonts w:ascii="Arial" w:hAnsi="Arial"/>
          <w:b/>
          <w:sz w:val="21"/>
        </w:rPr>
        <w:t>Palabras clave:</w:t>
      </w:r>
      <w:r>
        <w:rPr>
          <w:rFonts w:ascii="Arial" w:hAnsi="Arial"/>
          <w:sz w:val="21"/>
        </w:rPr>
        <w:t xml:space="preserve"> MVP móvil, servicios técnicos, Expo, Django, pruebas, gestión de proyectos.</w:t>
      </w:r>
    </w:p>
    <w:p>
      <w:pPr>
        <w:pStyle w:val="Heading1"/>
        <w:spacing w:before="200" w:after="100"/>
      </w:pPr>
      <w:r>
        <w:t>Abstract</w:t>
      </w:r>
    </w:p>
    <w:p>
      <w:pPr>
        <w:jc w:val="both"/>
      </w:pPr>
      <w:r>
        <w:rPr>
          <w:rFonts w:ascii="Arial" w:hAnsi="Arial"/>
          <w:sz w:val="21"/>
        </w:rPr>
        <w:t>FIX&amp;GO is an academic mobile minimum viable product designed to support a simulated home-service hiring journey in Santiago. Clients can search profiles, submit requests, review quotations, track progress, and rate the result, while providers can respond and update service states. My individual role is to maintain the product vision, requirements, user stories, backlog, Kanban board, planning, decisions, risks, reports, and teacher-feedback records. The solution will use React Native with Expo, a Django REST API, local SQLite storage, and a reproducible Docker configuration.</w:t>
      </w:r>
    </w:p>
    <w:p>
      <w:pPr>
        <w:jc w:val="both"/>
      </w:pPr>
      <w:r>
        <w:rPr>
          <w:rFonts w:ascii="Arial" w:hAnsi="Arial"/>
          <w:b/>
          <w:sz w:val="21"/>
        </w:rPr>
        <w:t>Keywords:</w:t>
      </w:r>
      <w:r>
        <w:rPr>
          <w:rFonts w:ascii="Arial" w:hAnsi="Arial"/>
          <w:sz w:val="21"/>
        </w:rPr>
        <w:t xml:space="preserve"> mobile MVP, home services, Expo, Django, testing, project management.</w:t>
      </w:r>
    </w:p>
    <w:p>
      <w:pPr>
        <w:pStyle w:val="Heading1"/>
        <w:spacing w:before="200" w:after="100"/>
      </w:pPr>
      <w:r>
        <w:t>1. Descripción del Proyecto APT</w:t>
      </w:r>
    </w:p>
    <w:p>
      <w:pPr>
        <w:jc w:val="both"/>
      </w:pPr>
      <w:r>
        <w:rPr>
          <w:rFonts w:ascii="Arial" w:hAnsi="Arial"/>
          <w:sz w:val="21"/>
        </w:rPr>
        <w:t>FIX&amp;GO es un proyecto APT que propone construir un producto mínimo viable móvil para facilitar una contratación simulada de servicios técnicos del hogar en Santiago. El recorrido conecta dos roles: una persona que necesita un servicio y un prestador. El cliente podrá registrarse, iniciar sesión, buscar por categoría y comuna, revisar perfiles, enviar una solicitud, recibir una cotización, seguir el estado y valorar el resultado. El prestador podrá revisar solicitudes, cotizar y actualizar estados. Los pagos, las credenciales profesionales y la mensajería externa serán simulados y se identificarán como demostración académica.</w:t>
      </w:r>
    </w:p>
    <w:p>
      <w:pPr>
        <w:jc w:val="both"/>
      </w:pPr>
      <w:r>
        <w:rPr>
          <w:rFonts w:ascii="Arial" w:hAnsi="Arial"/>
          <w:sz w:val="21"/>
        </w:rPr>
        <w:t>La aplicación se desarrollará con React Native, Expo y TypeScript para funcionar en iOS y Android. Expo Go permitirá abrir el prototipo mediante un código QR en teléfonos conectados a la misma red del Mac; la documentación oficial de Expo describe este flujo de ejecución y sus alternativas de conexión (Expo, 2026). La API será monolítica y utilizará Django REST Framework con SQLite local. Docker permitirá conservar una configuración reproducible de la API sin contratar infraestructura de nube (Django REST framework, 2026; Docker, 2026).</w:t>
      </w:r>
    </w:p>
    <w:p>
      <w:pPr>
        <w:jc w:val="both"/>
      </w:pPr>
      <w:r>
        <w:rPr>
          <w:rFonts w:ascii="Arial" w:hAnsi="Arial"/>
          <w:sz w:val="21"/>
        </w:rPr>
        <w:t>Mi aporte individual será: Mantener la visión del producto, requisitos, historias de usuario, backlog, tablero Kanban, planificación, acuerdos, riesgos, informes y registro de retroalimentación docente.</w:t>
      </w:r>
    </w:p>
    <w:p>
      <w:pPr>
        <w:pStyle w:val="Heading1"/>
        <w:spacing w:before="200" w:after="100"/>
      </w:pPr>
      <w:r>
        <w:t>2. Relación con las competencias del perfil de egreso</w:t>
      </w:r>
    </w:p>
    <w:p>
      <w:pPr>
        <w:jc w:val="both"/>
      </w:pPr>
      <w:r>
        <w:rPr>
          <w:rFonts w:ascii="Arial" w:hAnsi="Arial"/>
          <w:sz w:val="21"/>
        </w:rPr>
        <w:t>El proyecto integra competencias del perfil de egreso de Ingeniería Informática porque exige analizar una necesidad, diseñar una solución, construir e integrar software, gestionar el trabajo y comprobar sus resultados. En particular:</w:t>
      </w:r>
    </w:p>
    <w:p>
      <w:pPr>
        <w:pStyle w:val="ListBullet"/>
        <w:spacing w:after="60"/>
      </w:pPr>
      <w:r>
        <w:rPr>
          <w:rFonts w:ascii="Arial" w:hAnsi="Arial"/>
          <w:sz w:val="21"/>
        </w:rPr>
        <w:t>Ofrecer propuestas de solución informática mediante el análisis de necesidades, actores, restricciones y criterios de aceptación.</w:t>
      </w:r>
    </w:p>
    <w:p>
      <w:pPr>
        <w:pStyle w:val="ListBullet"/>
        <w:spacing w:after="60"/>
      </w:pPr>
      <w:r>
        <w:rPr>
          <w:rFonts w:ascii="Arial" w:hAnsi="Arial"/>
          <w:sz w:val="21"/>
        </w:rPr>
        <w:t>Desarrollar e integrar una solución de software mediante un proceso sistemático, control de versiones y revisión incremental.</w:t>
      </w:r>
    </w:p>
    <w:p>
      <w:pPr>
        <w:pStyle w:val="ListBullet"/>
        <w:spacing w:after="60"/>
      </w:pPr>
      <w:r>
        <w:rPr>
          <w:rFonts w:ascii="Arial" w:hAnsi="Arial"/>
          <w:sz w:val="21"/>
        </w:rPr>
        <w:t>Construir un modelo de datos que soporte usuarios, perfiles, solicitudes, cotizaciones, estados y valoraciones.</w:t>
      </w:r>
    </w:p>
    <w:p>
      <w:pPr>
        <w:pStyle w:val="ListBullet"/>
        <w:spacing w:after="60"/>
      </w:pPr>
      <w:r>
        <w:rPr>
          <w:rFonts w:ascii="Arial" w:hAnsi="Arial"/>
          <w:sz w:val="21"/>
        </w:rPr>
        <w:t>Realizar pruebas del producto y convertir los resultados en correcciones verificables.</w:t>
      </w:r>
    </w:p>
    <w:p>
      <w:pPr>
        <w:pStyle w:val="ListBullet"/>
        <w:spacing w:after="60"/>
      </w:pPr>
      <w:r>
        <w:rPr>
          <w:rFonts w:ascii="Arial" w:hAnsi="Arial"/>
          <w:sz w:val="21"/>
        </w:rPr>
        <w:t>Gestionar un proyecto informático mediante alcance, backlog, responsables, hitos, riesgos y evidencias.</w:t>
      </w:r>
    </w:p>
    <w:p>
      <w:pPr>
        <w:jc w:val="both"/>
      </w:pPr>
      <w:r>
        <w:rPr>
          <w:rFonts w:ascii="Arial" w:hAnsi="Arial"/>
          <w:sz w:val="21"/>
        </w:rPr>
        <w:t>Estas competencias se evidenciarán mediante productos verificables y aportes individuales registrados, sin afirmar resultados de implementación que todavía no hayan sido ejecutados.</w:t>
      </w:r>
    </w:p>
    <w:p>
      <w:pPr>
        <w:pStyle w:val="Heading1"/>
        <w:spacing w:before="200" w:after="100"/>
      </w:pPr>
      <w:r>
        <w:t>3. Relación con mis intereses profesionales</w:t>
      </w:r>
    </w:p>
    <w:p>
      <w:pPr>
        <w:jc w:val="both"/>
      </w:pPr>
      <w:r>
        <w:rPr>
          <w:rFonts w:ascii="Arial" w:hAnsi="Arial"/>
          <w:sz w:val="21"/>
        </w:rPr>
        <w:t>Mis intereses profesionales se relacionan con el análisis de sistemas, el levantamiento de requerimientos, la arquitectura y la gestión de proyectos tecnológicos. FIX&amp;GO me permite traducir una necesidad de usuarios en historias, reglas, prioridades y documentos que orienten el trabajo del equipo. Mi aporte se concentra en mantener coherencia entre el problema, el alcance y las decisiones, sin asumir tareas de programación asignadas a Benjamín.</w:t>
      </w:r>
    </w:p>
    <w:p>
      <w:pPr>
        <w:pStyle w:val="Heading1"/>
        <w:spacing w:before="200" w:after="100"/>
      </w:pPr>
      <w:r>
        <w:t>4. Factibilidad dentro de la asignatura</w:t>
      </w:r>
    </w:p>
    <w:p>
      <w:pPr>
        <w:jc w:val="both"/>
      </w:pPr>
      <w:r>
        <w:rPr>
          <w:rFonts w:ascii="Arial" w:hAnsi="Arial"/>
          <w:sz w:val="21"/>
        </w:rPr>
        <w:t>El alcance se limita a gas, electricidad y agua en Santiago, dos roles principales y un recorrido completo de contratación. Quedan fuera pagos reales, verificación oficial de credenciales, chat en tiempo real, GPS, login social, publicación en tiendas y operación comercial. El equipo utilizará el Mac M1 2020 de 8 GB, teléfonos disponibles y conexión Wi-Fi o punto de acceso. No se contratarán nube, dominio ni publicidad, por lo que el desembolso incremental previsto es $0 CLP. Para Benjamín se planifican aproximadamente 56 horas técnicas entre S5 y S15 dentro de 66 horas brutas, con 10 horas de reserva. La reducción de alcance, los datos de prueba y el video de respaldo permiten responder a problemas de conectividad, disponibilidad o integración.</w:t>
      </w:r>
    </w:p>
    <w:p>
      <w:pPr>
        <w:pStyle w:val="Heading1"/>
        <w:spacing w:before="200" w:after="100"/>
      </w:pPr>
      <w:r>
        <w:t>5. Objetivos</w:t>
      </w:r>
    </w:p>
    <w:p>
      <w:pPr>
        <w:pStyle w:val="Heading2"/>
        <w:spacing w:before="120" w:after="100"/>
      </w:pPr>
      <w:r>
        <w:t>5.1 Objetivo general</w:t>
      </w:r>
    </w:p>
    <w:p>
      <w:pPr>
        <w:jc w:val="both"/>
      </w:pPr>
      <w:r>
        <w:rPr>
          <w:rFonts w:ascii="Arial" w:hAnsi="Arial"/>
          <w:sz w:val="21"/>
        </w:rPr>
        <w:t>Desarrollar y demostrar un MVP móvil de FIX&amp;GO que permita completar y registrar el recorrido principal entre cliente y prestador para servicios técnicos del hogar en Santiago durante el periodo académico de Capstone.</w:t>
      </w:r>
    </w:p>
    <w:p>
      <w:pPr>
        <w:pStyle w:val="Heading2"/>
        <w:spacing w:before="120" w:after="100"/>
      </w:pPr>
      <w:r>
        <w:t>5.2 Objetivos específicos individuales</w:t>
      </w:r>
    </w:p>
    <w:p>
      <w:pPr>
        <w:pStyle w:val="ListBullet"/>
        <w:spacing w:after="60"/>
      </w:pPr>
      <w:r>
        <w:rPr>
          <w:rFonts w:ascii="Arial" w:hAnsi="Arial"/>
          <w:sz w:val="21"/>
        </w:rPr>
        <w:t>Transformar el recorrido de cliente y prestador en requisitos e historias verificables.</w:t>
      </w:r>
    </w:p>
    <w:p>
      <w:pPr>
        <w:pStyle w:val="ListBullet"/>
        <w:spacing w:after="60"/>
      </w:pPr>
      <w:r>
        <w:rPr>
          <w:rFonts w:ascii="Arial" w:hAnsi="Arial"/>
          <w:sz w:val="21"/>
        </w:rPr>
        <w:t>Mantener un backlog priorizado y un tablero que muestre responsables y estado real.</w:t>
      </w:r>
    </w:p>
    <w:p>
      <w:pPr>
        <w:pStyle w:val="ListBullet"/>
        <w:spacing w:after="60"/>
      </w:pPr>
      <w:r>
        <w:rPr>
          <w:rFonts w:ascii="Arial" w:hAnsi="Arial"/>
          <w:sz w:val="21"/>
        </w:rPr>
        <w:t>Registrar decisiones, riesgos y cambios de alcance durante cada ciclo semanal.</w:t>
      </w:r>
    </w:p>
    <w:p>
      <w:pPr>
        <w:pStyle w:val="ListBullet"/>
        <w:spacing w:after="60"/>
      </w:pPr>
      <w:r>
        <w:rPr>
          <w:rFonts w:ascii="Arial" w:hAnsi="Arial"/>
          <w:sz w:val="21"/>
        </w:rPr>
        <w:t>Consolidar informes y retroalimentación para mantener coherencia entre definición, MVP y presentación.</w:t>
      </w:r>
    </w:p>
    <w:p>
      <w:pPr>
        <w:pStyle w:val="Heading1"/>
        <w:spacing w:before="200" w:after="100"/>
      </w:pPr>
      <w:r>
        <w:t>6. Propuesta metodológica</w:t>
      </w:r>
    </w:p>
    <w:p>
      <w:pPr>
        <w:jc w:val="both"/>
      </w:pPr>
      <w:r>
        <w:rPr>
          <w:rFonts w:ascii="Arial" w:hAnsi="Arial"/>
          <w:sz w:val="21"/>
        </w:rPr>
        <w:t>El equipo trabajará con Kanban y ciclos semanales de planificación, ejecución, revisión y ajuste. Cada historia de usuario tendrá responsable, criterios de aceptación y evidencia esperada. El tablero utilizará los estados pendiente, en curso, en revisión y terminado. Una tarea se considerará terminada cuando cumpla sus criterios, conserve datos, respete permisos, cuente con revisión y no presente errores bloqueantes en el recorrido. GitHub registrará versiones y aportes individuales. La revisión docente de Fase 1 y las pruebas posteriores se transformarán en acciones priorizadas para el siguiente ciclo.</w:t>
      </w:r>
    </w:p>
    <w:p>
      <w:pPr>
        <w:jc w:val="both"/>
      </w:pPr>
      <w:r>
        <w:rPr>
          <w:rFonts w:ascii="Arial" w:hAnsi="Arial"/>
          <w:sz w:val="21"/>
        </w:rPr>
        <w:t>La distribución acordada asigna toda la programación a Benjamín, la gestión documental a Daniel y las pruebas manuales y evidencia audiovisual a Felipe. Esta separación mantiene responsabilidades observables y permite evaluar el desempeño individual dentro del trabajo grupal.</w:t>
      </w:r>
    </w:p>
    <w:p>
      <w:pPr>
        <w:pStyle w:val="Heading1"/>
        <w:spacing w:before="200" w:after="100"/>
      </w:pPr>
      <w:r>
        <w:t>7. Plan de trabajo</w:t>
      </w:r>
    </w:p>
    <w:tbl>
      <w:tblPr>
        <w:tblStyle w:val="TableGrid"/>
        <w:tblW w:type="auto" w:w="0"/>
        <w:jc w:val="center"/>
        <w:tblLook w:firstColumn="1" w:firstRow="1" w:lastColumn="0" w:lastRow="0" w:noHBand="0" w:noVBand="1" w:val="04A0"/>
      </w:tblPr>
      <w:tblGrid>
        <w:gridCol w:w="4873"/>
        <w:gridCol w:w="4873"/>
      </w:tblGrid>
      <w:tr>
        <w:tc>
          <w:tcPr>
            <w:tcW w:type="dxa" w:w="1701"/>
            <w:vAlign w:val="center"/>
            <w:shd w:fill="0B3041"/>
          </w:tcPr>
          <w:p>
            <w:pPr>
              <w:spacing w:after="0"/>
            </w:pPr>
            <w:r/>
            <w:r>
              <w:rPr>
                <w:rFonts w:ascii="Arial" w:hAnsi="Arial"/>
                <w:b/>
                <w:color w:val="FFFFFF"/>
                <w:sz w:val="18"/>
              </w:rPr>
              <w:t>Periodo</w:t>
            </w:r>
          </w:p>
        </w:tc>
        <w:tc>
          <w:tcPr>
            <w:tcW w:type="dxa" w:w="7087"/>
            <w:vAlign w:val="center"/>
            <w:shd w:fill="0B3041"/>
          </w:tcPr>
          <w:p>
            <w:pPr>
              <w:spacing w:after="0"/>
            </w:pPr>
            <w:r/>
            <w:r>
              <w:rPr>
                <w:rFonts w:ascii="Arial" w:hAnsi="Arial"/>
                <w:b/>
                <w:color w:val="FFFFFF"/>
                <w:sz w:val="18"/>
              </w:rPr>
              <w:t>Actividad y resultado esperado</w:t>
            </w:r>
          </w:p>
        </w:tc>
      </w:tr>
      <w:tr>
        <w:tc>
          <w:tcPr>
            <w:tcW w:type="dxa" w:w="1701"/>
            <w:vAlign w:val="center"/>
          </w:tcPr>
          <w:p>
            <w:pPr>
              <w:spacing w:after="0"/>
            </w:pPr>
            <w:r/>
            <w:r>
              <w:rPr>
                <w:rFonts w:ascii="Arial" w:hAnsi="Arial"/>
                <w:b w:val="0"/>
                <w:sz w:val="17"/>
              </w:rPr>
              <w:t>S1–S4</w:t>
            </w:r>
          </w:p>
        </w:tc>
        <w:tc>
          <w:tcPr>
            <w:tcW w:type="dxa" w:w="7087"/>
            <w:vAlign w:val="center"/>
          </w:tcPr>
          <w:p>
            <w:pPr>
              <w:spacing w:after="0"/>
            </w:pPr>
            <w:r/>
            <w:r>
              <w:rPr>
                <w:rFonts w:ascii="Arial" w:hAnsi="Arial"/>
                <w:b w:val="0"/>
                <w:sz w:val="17"/>
              </w:rPr>
              <w:t>Definir problema, actores, alcance, objetivos, arquitectura, riesgos, evidencias y presentación de EVA 1.</w:t>
            </w:r>
          </w:p>
        </w:tc>
      </w:tr>
      <w:tr>
        <w:tc>
          <w:tcPr>
            <w:tcW w:type="dxa" w:w="1701"/>
            <w:vAlign w:val="center"/>
            <w:shd w:fill="EAF3F7"/>
          </w:tcPr>
          <w:p>
            <w:pPr>
              <w:spacing w:after="0"/>
            </w:pPr>
            <w:r/>
            <w:r>
              <w:rPr>
                <w:rFonts w:ascii="Arial" w:hAnsi="Arial"/>
                <w:b w:val="0"/>
                <w:sz w:val="17"/>
              </w:rPr>
              <w:t>S5–S6</w:t>
            </w:r>
          </w:p>
        </w:tc>
        <w:tc>
          <w:tcPr>
            <w:tcW w:type="dxa" w:w="7087"/>
            <w:vAlign w:val="center"/>
            <w:shd w:fill="EAF3F7"/>
          </w:tcPr>
          <w:p>
            <w:pPr>
              <w:spacing w:after="0"/>
            </w:pPr>
            <w:r/>
            <w:r>
              <w:rPr>
                <w:rFonts w:ascii="Arial" w:hAnsi="Arial"/>
                <w:b w:val="0"/>
                <w:sz w:val="17"/>
              </w:rPr>
              <w:t>Ajustar la definición con retroalimentación; preparar prototipo navegable, arquitectura y backlog técnico.</w:t>
            </w:r>
          </w:p>
        </w:tc>
      </w:tr>
      <w:tr>
        <w:tc>
          <w:tcPr>
            <w:tcW w:type="dxa" w:w="1701"/>
            <w:vAlign w:val="center"/>
          </w:tcPr>
          <w:p>
            <w:pPr>
              <w:spacing w:after="0"/>
            </w:pPr>
            <w:r/>
            <w:r>
              <w:rPr>
                <w:rFonts w:ascii="Arial" w:hAnsi="Arial"/>
                <w:b w:val="0"/>
                <w:sz w:val="17"/>
              </w:rPr>
              <w:t>S7–S10</w:t>
            </w:r>
          </w:p>
        </w:tc>
        <w:tc>
          <w:tcPr>
            <w:tcW w:type="dxa" w:w="7087"/>
            <w:vAlign w:val="center"/>
          </w:tcPr>
          <w:p>
            <w:pPr>
              <w:spacing w:after="0"/>
            </w:pPr>
            <w:r/>
            <w:r>
              <w:rPr>
                <w:rFonts w:ascii="Arial" w:hAnsi="Arial"/>
                <w:b w:val="0"/>
                <w:sz w:val="17"/>
              </w:rPr>
              <w:t>Construir acceso por roles, búsqueda, perfiles, solicitud y cotización; presentar avance documental en S10.</w:t>
            </w:r>
          </w:p>
        </w:tc>
      </w:tr>
      <w:tr>
        <w:tc>
          <w:tcPr>
            <w:tcW w:type="dxa" w:w="1701"/>
            <w:vAlign w:val="center"/>
            <w:shd w:fill="EAF3F7"/>
          </w:tcPr>
          <w:p>
            <w:pPr>
              <w:spacing w:after="0"/>
            </w:pPr>
            <w:r/>
            <w:r>
              <w:rPr>
                <w:rFonts w:ascii="Arial" w:hAnsi="Arial"/>
                <w:b w:val="0"/>
                <w:sz w:val="17"/>
              </w:rPr>
              <w:t>S11–S14</w:t>
            </w:r>
          </w:p>
        </w:tc>
        <w:tc>
          <w:tcPr>
            <w:tcW w:type="dxa" w:w="7087"/>
            <w:vAlign w:val="center"/>
            <w:shd w:fill="EAF3F7"/>
          </w:tcPr>
          <w:p>
            <w:pPr>
              <w:spacing w:after="0"/>
            </w:pPr>
            <w:r/>
            <w:r>
              <w:rPr>
                <w:rFonts w:ascii="Arial" w:hAnsi="Arial"/>
                <w:b w:val="0"/>
                <w:sz w:val="17"/>
              </w:rPr>
              <w:t>Integrar seguimiento y valoración; ejecutar pruebas, corregir incidencias y preparar evidencia.</w:t>
            </w:r>
          </w:p>
        </w:tc>
      </w:tr>
      <w:tr>
        <w:tc>
          <w:tcPr>
            <w:tcW w:type="dxa" w:w="1701"/>
            <w:vAlign w:val="center"/>
          </w:tcPr>
          <w:p>
            <w:pPr>
              <w:spacing w:after="0"/>
            </w:pPr>
            <w:r/>
            <w:r>
              <w:rPr>
                <w:rFonts w:ascii="Arial" w:hAnsi="Arial"/>
                <w:b w:val="0"/>
                <w:sz w:val="17"/>
              </w:rPr>
              <w:t>S15</w:t>
            </w:r>
          </w:p>
        </w:tc>
        <w:tc>
          <w:tcPr>
            <w:tcW w:type="dxa" w:w="7087"/>
            <w:vAlign w:val="center"/>
          </w:tcPr>
          <w:p>
            <w:pPr>
              <w:spacing w:after="0"/>
            </w:pPr>
            <w:r/>
            <w:r>
              <w:rPr>
                <w:rFonts w:ascii="Arial" w:hAnsi="Arial"/>
                <w:b w:val="0"/>
                <w:sz w:val="17"/>
              </w:rPr>
              <w:t>Entregar MVP, informe, instrucciones de ejecución, resultados de pruebas y presentación.</w:t>
            </w:r>
          </w:p>
        </w:tc>
      </w:tr>
      <w:tr>
        <w:tc>
          <w:tcPr>
            <w:tcW w:type="dxa" w:w="1701"/>
            <w:vAlign w:val="center"/>
            <w:shd w:fill="EAF3F7"/>
          </w:tcPr>
          <w:p>
            <w:pPr>
              <w:spacing w:after="0"/>
            </w:pPr>
            <w:r/>
            <w:r>
              <w:rPr>
                <w:rFonts w:ascii="Arial" w:hAnsi="Arial"/>
                <w:b w:val="0"/>
                <w:sz w:val="17"/>
              </w:rPr>
              <w:t>S16–S18</w:t>
            </w:r>
          </w:p>
        </w:tc>
        <w:tc>
          <w:tcPr>
            <w:tcW w:type="dxa" w:w="7087"/>
            <w:vAlign w:val="center"/>
            <w:shd w:fill="EAF3F7"/>
          </w:tcPr>
          <w:p>
            <w:pPr>
              <w:spacing w:after="0"/>
            </w:pPr>
            <w:r/>
            <w:r>
              <w:rPr>
                <w:rFonts w:ascii="Arial" w:hAnsi="Arial"/>
                <w:b w:val="0"/>
                <w:sz w:val="17"/>
              </w:rPr>
              <w:t>Analizar resultados, preparar reflexión y realizar presentación y defensa final.</w:t>
            </w:r>
          </w:p>
        </w:tc>
      </w:tr>
    </w:tbl>
    <w:p>
      <w:pPr>
        <w:spacing w:after="0"/>
      </w:pPr>
    </w:p>
    <w:p>
      <w:pPr>
        <w:pStyle w:val="Heading1"/>
        <w:spacing w:before="200" w:after="100"/>
      </w:pPr>
      <w:r>
        <w:t>8. Propuesta de evidencias individuales</w:t>
      </w:r>
    </w:p>
    <w:p>
      <w:pPr>
        <w:jc w:val="both"/>
      </w:pPr>
      <w:r>
        <w:rPr>
          <w:rFonts w:ascii="Arial" w:hAnsi="Arial"/>
          <w:sz w:val="21"/>
        </w:rPr>
        <w:t>Las siguientes evidencias permitirán observar directamente mi aporte y relacionarlo con las actividades planificadas:</w:t>
      </w:r>
    </w:p>
    <w:tbl>
      <w:tblPr>
        <w:tblStyle w:val="TableGrid"/>
        <w:tblW w:type="auto" w:w="0"/>
        <w:jc w:val="center"/>
        <w:tblLook w:firstColumn="1" w:firstRow="1" w:lastColumn="0" w:lastRow="0" w:noHBand="0" w:noVBand="1" w:val="04A0"/>
      </w:tblPr>
      <w:tblGrid>
        <w:gridCol w:w="3249"/>
        <w:gridCol w:w="3249"/>
        <w:gridCol w:w="3249"/>
      </w:tblGrid>
      <w:tr>
        <w:tc>
          <w:tcPr>
            <w:tcW w:type="dxa" w:w="1984"/>
            <w:vAlign w:val="center"/>
            <w:shd w:fill="0B3041"/>
          </w:tcPr>
          <w:p>
            <w:pPr>
              <w:spacing w:after="0"/>
            </w:pPr>
            <w:r/>
            <w:r>
              <w:rPr>
                <w:rFonts w:ascii="Arial" w:hAnsi="Arial"/>
                <w:b/>
                <w:color w:val="FFFFFF"/>
                <w:sz w:val="18"/>
              </w:rPr>
              <w:t>Evidencia</w:t>
            </w:r>
          </w:p>
        </w:tc>
        <w:tc>
          <w:tcPr>
            <w:tcW w:type="dxa" w:w="3685"/>
            <w:vAlign w:val="center"/>
            <w:shd w:fill="0B3041"/>
          </w:tcPr>
          <w:p>
            <w:pPr>
              <w:spacing w:after="0"/>
            </w:pPr>
            <w:r/>
            <w:r>
              <w:rPr>
                <w:rFonts w:ascii="Arial" w:hAnsi="Arial"/>
                <w:b/>
                <w:color w:val="FFFFFF"/>
                <w:sz w:val="18"/>
              </w:rPr>
              <w:t>Contenido</w:t>
            </w:r>
          </w:p>
        </w:tc>
        <w:tc>
          <w:tcPr>
            <w:tcW w:type="dxa" w:w="3402"/>
            <w:vAlign w:val="center"/>
            <w:shd w:fill="0B3041"/>
          </w:tcPr>
          <w:p>
            <w:pPr>
              <w:spacing w:after="0"/>
            </w:pPr>
            <w:r/>
            <w:r>
              <w:rPr>
                <w:rFonts w:ascii="Arial" w:hAnsi="Arial"/>
                <w:b/>
                <w:color w:val="FFFFFF"/>
                <w:sz w:val="18"/>
              </w:rPr>
              <w:t>Justificación</w:t>
            </w:r>
          </w:p>
        </w:tc>
      </w:tr>
      <w:tr>
        <w:tc>
          <w:tcPr>
            <w:tcW w:type="dxa" w:w="1984"/>
            <w:vAlign w:val="center"/>
          </w:tcPr>
          <w:p>
            <w:pPr>
              <w:spacing w:after="0"/>
            </w:pPr>
            <w:r/>
            <w:r>
              <w:rPr>
                <w:rFonts w:ascii="Arial" w:hAnsi="Arial"/>
                <w:b w:val="0"/>
                <w:sz w:val="17"/>
              </w:rPr>
              <w:t>Visión y requisitos</w:t>
            </w:r>
          </w:p>
        </w:tc>
        <w:tc>
          <w:tcPr>
            <w:tcW w:type="dxa" w:w="3685"/>
            <w:vAlign w:val="center"/>
          </w:tcPr>
          <w:p>
            <w:pPr>
              <w:spacing w:after="0"/>
            </w:pPr>
            <w:r/>
            <w:r>
              <w:rPr>
                <w:rFonts w:ascii="Arial" w:hAnsi="Arial"/>
                <w:b w:val="0"/>
                <w:sz w:val="17"/>
              </w:rPr>
              <w:t>Actores, necesidades, reglas, historias y criterios de aceptación.</w:t>
            </w:r>
          </w:p>
        </w:tc>
        <w:tc>
          <w:tcPr>
            <w:tcW w:type="dxa" w:w="3402"/>
            <w:vAlign w:val="center"/>
          </w:tcPr>
          <w:p>
            <w:pPr>
              <w:spacing w:after="0"/>
            </w:pPr>
            <w:r/>
            <w:r>
              <w:rPr>
                <w:rFonts w:ascii="Arial" w:hAnsi="Arial"/>
                <w:b w:val="0"/>
                <w:sz w:val="17"/>
              </w:rPr>
              <w:t>Demuestra análisis y trazabilidad antes de desarrollar.</w:t>
            </w:r>
          </w:p>
        </w:tc>
      </w:tr>
      <w:tr>
        <w:tc>
          <w:tcPr>
            <w:tcW w:type="dxa" w:w="1984"/>
            <w:vAlign w:val="center"/>
            <w:shd w:fill="EAF3F7"/>
          </w:tcPr>
          <w:p>
            <w:pPr>
              <w:spacing w:after="0"/>
            </w:pPr>
            <w:r/>
            <w:r>
              <w:rPr>
                <w:rFonts w:ascii="Arial" w:hAnsi="Arial"/>
                <w:b w:val="0"/>
                <w:sz w:val="17"/>
              </w:rPr>
              <w:t>Backlog y tablero</w:t>
            </w:r>
          </w:p>
        </w:tc>
        <w:tc>
          <w:tcPr>
            <w:tcW w:type="dxa" w:w="3685"/>
            <w:vAlign w:val="center"/>
            <w:shd w:fill="EAF3F7"/>
          </w:tcPr>
          <w:p>
            <w:pPr>
              <w:spacing w:after="0"/>
            </w:pPr>
            <w:r/>
            <w:r>
              <w:rPr>
                <w:rFonts w:ascii="Arial" w:hAnsi="Arial"/>
                <w:b w:val="0"/>
                <w:sz w:val="17"/>
              </w:rPr>
              <w:t>Prioridad, responsable, estado, dependencia y criterio de terminado.</w:t>
            </w:r>
          </w:p>
        </w:tc>
        <w:tc>
          <w:tcPr>
            <w:tcW w:type="dxa" w:w="3402"/>
            <w:vAlign w:val="center"/>
            <w:shd w:fill="EAF3F7"/>
          </w:tcPr>
          <w:p>
            <w:pPr>
              <w:spacing w:after="0"/>
            </w:pPr>
            <w:r/>
            <w:r>
              <w:rPr>
                <w:rFonts w:ascii="Arial" w:hAnsi="Arial"/>
                <w:b w:val="0"/>
                <w:sz w:val="17"/>
              </w:rPr>
              <w:t>Evidencia planificación y control semanal.</w:t>
            </w:r>
          </w:p>
        </w:tc>
      </w:tr>
      <w:tr>
        <w:tc>
          <w:tcPr>
            <w:tcW w:type="dxa" w:w="1984"/>
            <w:vAlign w:val="center"/>
          </w:tcPr>
          <w:p>
            <w:pPr>
              <w:spacing w:after="0"/>
            </w:pPr>
            <w:r/>
            <w:r>
              <w:rPr>
                <w:rFonts w:ascii="Arial" w:hAnsi="Arial"/>
                <w:b w:val="0"/>
                <w:sz w:val="17"/>
              </w:rPr>
              <w:t>Registro de decisiones</w:t>
            </w:r>
          </w:p>
        </w:tc>
        <w:tc>
          <w:tcPr>
            <w:tcW w:type="dxa" w:w="3685"/>
            <w:vAlign w:val="center"/>
          </w:tcPr>
          <w:p>
            <w:pPr>
              <w:spacing w:after="0"/>
            </w:pPr>
            <w:r/>
            <w:r>
              <w:rPr>
                <w:rFonts w:ascii="Arial" w:hAnsi="Arial"/>
                <w:b w:val="0"/>
                <w:sz w:val="17"/>
              </w:rPr>
              <w:t>Acuerdos de alcance, riesgos, responsables y cambios aprobados.</w:t>
            </w:r>
          </w:p>
        </w:tc>
        <w:tc>
          <w:tcPr>
            <w:tcW w:type="dxa" w:w="3402"/>
            <w:vAlign w:val="center"/>
          </w:tcPr>
          <w:p>
            <w:pPr>
              <w:spacing w:after="0"/>
            </w:pPr>
            <w:r/>
            <w:r>
              <w:rPr>
                <w:rFonts w:ascii="Arial" w:hAnsi="Arial"/>
                <w:b w:val="0"/>
                <w:sz w:val="17"/>
              </w:rPr>
              <w:t>Permite justificar las alternativas elegidas.</w:t>
            </w:r>
          </w:p>
        </w:tc>
      </w:tr>
      <w:tr>
        <w:tc>
          <w:tcPr>
            <w:tcW w:type="dxa" w:w="1984"/>
            <w:vAlign w:val="center"/>
            <w:shd w:fill="EAF3F7"/>
          </w:tcPr>
          <w:p>
            <w:pPr>
              <w:spacing w:after="0"/>
            </w:pPr>
            <w:r/>
            <w:r>
              <w:rPr>
                <w:rFonts w:ascii="Arial" w:hAnsi="Arial"/>
                <w:b w:val="0"/>
                <w:sz w:val="17"/>
              </w:rPr>
              <w:t>Informes y retroalimentación</w:t>
            </w:r>
          </w:p>
        </w:tc>
        <w:tc>
          <w:tcPr>
            <w:tcW w:type="dxa" w:w="3685"/>
            <w:vAlign w:val="center"/>
            <w:shd w:fill="EAF3F7"/>
          </w:tcPr>
          <w:p>
            <w:pPr>
              <w:spacing w:after="0"/>
            </w:pPr>
            <w:r/>
            <w:r>
              <w:rPr>
                <w:rFonts w:ascii="Arial" w:hAnsi="Arial"/>
                <w:b w:val="0"/>
                <w:sz w:val="17"/>
              </w:rPr>
              <w:t>Versiones del informe y acciones derivadas de la rúbrica docente.</w:t>
            </w:r>
          </w:p>
        </w:tc>
        <w:tc>
          <w:tcPr>
            <w:tcW w:type="dxa" w:w="3402"/>
            <w:vAlign w:val="center"/>
            <w:shd w:fill="EAF3F7"/>
          </w:tcPr>
          <w:p>
            <w:pPr>
              <w:spacing w:after="0"/>
            </w:pPr>
            <w:r/>
            <w:r>
              <w:rPr>
                <w:rFonts w:ascii="Arial" w:hAnsi="Arial"/>
                <w:b w:val="0"/>
                <w:sz w:val="17"/>
              </w:rPr>
              <w:t>Demuestra mejora documental entre fases.</w:t>
            </w:r>
          </w:p>
        </w:tc>
      </w:tr>
    </w:tbl>
    <w:p>
      <w:pPr>
        <w:spacing w:after="0"/>
      </w:pPr>
    </w:p>
    <w:p>
      <w:pPr>
        <w:pStyle w:val="Heading1"/>
        <w:spacing w:before="200" w:after="100"/>
      </w:pPr>
      <w:r>
        <w:t>Individual conclusion</w:t>
      </w:r>
    </w:p>
    <w:p>
      <w:pPr>
        <w:jc w:val="both"/>
      </w:pPr>
      <w:r>
        <w:rPr>
          <w:rFonts w:ascii="Arial" w:hAnsi="Arial"/>
          <w:sz w:val="21"/>
        </w:rPr>
        <w:t>FIX&amp;GO is aligned with my interest in systems analysis and technology project management. My responsibility is to convert the product vision into clear requirements, an ordered backlog, documented decisions, and reports that remain consistent with the implemented MVP. The limited scope, local architecture, and weekly review process make the project feasible. My evidence will show how planning and documentation support the technical work without presenting backend development as my individual contribution.</w:t>
      </w:r>
    </w:p>
    <w:p>
      <w:pPr>
        <w:pStyle w:val="Heading1"/>
        <w:spacing w:before="200" w:after="100"/>
      </w:pPr>
      <w:r>
        <w:t>Individual reflection</w:t>
      </w:r>
    </w:p>
    <w:p>
      <w:pPr>
        <w:jc w:val="both"/>
      </w:pPr>
      <w:r>
        <w:rPr>
          <w:rFonts w:ascii="Arial" w:hAnsi="Arial"/>
          <w:sz w:val="21"/>
        </w:rPr>
        <w:t>This phase helped me correct an inaccurate description of FIX&amp;GO and define my contribution more clearly. The project addresses home technical services in Santiago, not event production. I also recognized that my strongest contribution is requirements and project coordination rather than backend programming. I need to improve the precision of acceptance criteria and keep documentation synchronized with code. During the next phase, I will review the backlog weekly, record decisions when they are made, and convert teacher feedback into specific actions with an owner and a due date.</w:t>
      </w:r>
    </w:p>
    <w:p>
      <w:pPr>
        <w:pStyle w:val="Heading1"/>
        <w:spacing w:before="200" w:after="100"/>
      </w:pPr>
      <w:r>
        <w:t>Referencias</w:t>
      </w:r>
    </w:p>
    <w:p>
      <w:pPr>
        <w:ind w:hanging="397" w:left="397"/>
        <w:jc w:val="both"/>
      </w:pPr>
      <w:r>
        <w:rPr>
          <w:rFonts w:ascii="Arial" w:hAnsi="Arial"/>
          <w:sz w:val="21"/>
        </w:rPr>
        <w:t>Django REST framework. (2026). Quickstart. https://www.django-rest-framework.org/tutorial/quickstart/</w:t>
      </w:r>
    </w:p>
    <w:p>
      <w:pPr>
        <w:ind w:hanging="397" w:left="397"/>
        <w:jc w:val="both"/>
      </w:pPr>
      <w:r>
        <w:rPr>
          <w:rFonts w:ascii="Arial" w:hAnsi="Arial"/>
          <w:sz w:val="21"/>
        </w:rPr>
        <w:t>Docker. (2026). Get started. https://docs.docker.com/get-started/</w:t>
      </w:r>
    </w:p>
    <w:p>
      <w:pPr>
        <w:ind w:hanging="397" w:left="397"/>
        <w:jc w:val="both"/>
      </w:pPr>
      <w:r>
        <w:rPr>
          <w:rFonts w:ascii="Arial" w:hAnsi="Arial"/>
          <w:sz w:val="21"/>
        </w:rPr>
        <w:t>Duoc UC. (2026). Guía del estudiante Fase 1: Definición Proyecto APT [Documento de asignatura].</w:t>
      </w:r>
    </w:p>
    <w:p>
      <w:pPr>
        <w:ind w:hanging="397" w:left="397"/>
        <w:jc w:val="both"/>
      </w:pPr>
      <w:r>
        <w:rPr>
          <w:rFonts w:ascii="Arial" w:hAnsi="Arial"/>
          <w:sz w:val="21"/>
        </w:rPr>
        <w:t>Duoc UC. (2026). Descripción del perfil de egreso de Ingeniería Informática [Documento institucional].</w:t>
      </w:r>
    </w:p>
    <w:p>
      <w:pPr>
        <w:ind w:hanging="397" w:left="397"/>
        <w:jc w:val="both"/>
      </w:pPr>
      <w:r>
        <w:rPr>
          <w:rFonts w:ascii="Arial" w:hAnsi="Arial"/>
          <w:sz w:val="21"/>
        </w:rPr>
        <w:t>Expo. (2026). Create your first app. https://docs.expo.dev/tutorial/create-your-first-app/</w:t>
      </w:r>
    </w:p>
    <w:p>
      <w:pPr>
        <w:ind w:hanging="397" w:left="397"/>
        <w:jc w:val="both"/>
      </w:pPr>
      <w:r>
        <w:rPr>
          <w:rFonts w:ascii="Arial" w:hAnsi="Arial"/>
          <w:sz w:val="21"/>
        </w:rPr>
        <w:t>Equipo FIX&amp;GO. (2026). Repositorio del Proyecto Capstone. https://github.com/898benja/005d_Capstone_EQUIPO_10</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PTY4614 · FIX&amp;GO · Daniel Baeza</w:t>
    </w:r>
    <w:r>
      <w:tab/>
    </w:r>
    <w:r>
      <w:rPr>
        <w:rFonts w:ascii="Arial" w:hAnsi="Arial"/>
        <w:color w:val="666666"/>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371600" cy="337514"/>
          <wp:docPr id="1" name="Picture 1"/>
          <wp:cNvGraphicFramePr>
            <a:graphicFrameLocks noChangeAspect="1"/>
          </wp:cNvGraphicFramePr>
          <a:graphic>
            <a:graphicData uri="http://schemas.openxmlformats.org/drawingml/2006/picture">
              <pic:pic>
                <pic:nvPicPr>
                  <pic:cNvPr id="0" name="aa60b441c530c7af00b0f878e998318393d22081.png"/>
                  <pic:cNvPicPr/>
                </pic:nvPicPr>
                <pic:blipFill>
                  <a:blip r:embed="rId1"/>
                  <a:stretch>
                    <a:fillRect/>
                  </a:stretch>
                </pic:blipFill>
                <pic:spPr>
                  <a:xfrm>
                    <a:off x="0" y="0"/>
                    <a:ext cx="1371600" cy="33751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0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F5A8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B304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individual Fase 1 — Daniel Baeza</dc:title>
  <dc:subject>Definición del Proyecto APT FIX&amp;GO</dc:subject>
  <dc:creator>Daniel Baeza</dc:creator>
  <cp:keywords>FIX&amp;GO, APT, Capstone, informe individual</cp:keywords>
  <dc:description>generated by python-docx</dc:description>
  <cp:lastModifiedBy/>
  <cp:revision>1</cp:revision>
  <dcterms:created xsi:type="dcterms:W3CDTF">2013-12-23T23:15:00Z</dcterms:created>
  <dcterms:modified xsi:type="dcterms:W3CDTF">2013-12-23T23:15:00Z</dcterms:modified>
  <cp:category/>
</cp:coreProperties>
</file>