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280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Felipe Arce – Daniel Baeza – Benjamín Olmedo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21.786.854-8.  21.180.603-6. 21.861.546-5</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Plaza Oeste</w:t>
            </w:r>
          </w:p>
        </w:tc>
      </w:tr>
    </w:tbl>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Pr>
                <w:i w:val="1"/>
                <w:iCs w:val="1"/>
                <w:color w:val="548dd4"/>
                <w:sz w:val="20"/>
                <w:szCs w:val="20"/>
                <w:rtl w:val="0"/>
              </w:rPr>
              <w:t>FIX&amp;GO — MVP funcional de aplicación móvil para servicios técnicos en Santiago</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240" w:before="240" w:lineRule="auto"/>
              <w:rPr>
                <w:i w:val="1"/>
                <w:iCs w:val="1"/>
                <w:color w:val="548dd4"/>
                <w:sz w:val="20"/>
                <w:szCs w:val="20"/>
              </w:rPr>
            </w:pPr>
            <w:r>
              <w:rPr>
                <w:i w:val="1"/>
                <w:iCs w:val="1"/>
                <w:color w:val="548dd4"/>
                <w:sz w:val="20"/>
                <w:szCs w:val="20"/>
                <w:rtl w:val="0"/>
              </w:rPr>
              <w:t>• Desarrollo de aplicaciones móviles e integración de software.</w:t>
              <w:br/>
              <w:t>• Gestión de proyectos informáticos y aseguramiento de calidad.</w:t>
              <w:br/>
              <w:t>• Arquitectura, modelado de datos y despliegue local de servicios.</w:t>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spacing w:after="240" w:line="276" w:lineRule="auto"/>
              <w:rPr>
                <w:i w:val="1"/>
                <w:iCs w:val="1"/>
                <w:color w:val="548dd4"/>
                <w:sz w:val="20"/>
                <w:szCs w:val="20"/>
              </w:rPr>
            </w:pPr>
            <w:r>
              <w:rPr>
                <w:i w:val="1"/>
                <w:iCs w:val="1"/>
                <w:color w:val="548dd4"/>
                <w:sz w:val="20"/>
                <w:szCs w:val="20"/>
                <w:rtl w:val="0"/>
              </w:rPr>
              <w:t>• Desarrollar soluciones de software con un proceso sistemático.</w:t>
              <w:br/>
              <w:t>• Construir modelos de datos que soporten los requisitos.</w:t>
              <w:br/>
              <w:t>• Aplicar pruebas de certificación y aseguramiento de calidad.</w:t>
              <w:br/>
              <w:t>• Gestionar proyectos y alternativas para tomar decisiones.</w:t>
              <w:br/>
              <w:t>• Aplicar metodologías ágiles de desarrollo de software.</w:t>
            </w:r>
          </w:p>
        </w:tc>
      </w:tr>
    </w:tbl>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pageBreakBefore/>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Pr>
                <w:i w:val="1"/>
                <w:iCs w:val="1"/>
                <w:color w:val="548dd4"/>
                <w:sz w:val="20"/>
                <w:szCs w:val="20"/>
                <w:rtl w:val="0"/>
              </w:rPr>
              <w:t>La propuesta académica de FIX&amp;GO identifica dificultades para encontrar y comparar servicios técnicos del hogar mediante recomendaciones y redes sociales: información dispersa sobre especialidad, cobertura y precio, y poca trazabilidad del acuerdo. El MVP abordará esta necesidad en Santiago, con servicios de gas, electricidad y agua. Su aporte será reunir búsqueda, solicitud, cotización y seguimiento en un recorrido móvil entre cliente y prestador. La confianza se apoyará en información visible y estados claros; la certificación profesional será simulada y no constituirá una verificación oficial. La utilidad de esta propuesta se evaluará con pruebas exploratorias, sin afirmar que ya existe validación comercial.</w:t>
            </w:r>
          </w:p>
        </w:tc>
      </w:tr>
      <w:tr>
        <w:trPr>
          <w:cantSplit w:val="0"/>
          <w:trHeight w:val="1037"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F">
            <w:pPr>
              <w:jc w:val="both"/>
              <w:rPr>
                <w:rFonts w:ascii="Calibri" w:cs="Calibri" w:eastAsia="Calibri" w:hAnsi="Calibri"/>
                <w:i w:val="1"/>
                <w:iCs w:val="1"/>
                <w:color w:val="548dd4"/>
                <w:sz w:val="20"/>
                <w:szCs w:val="20"/>
              </w:rPr>
            </w:pPr>
            <w:r>
              <w:rPr>
                <w:i w:val="1"/>
                <w:iCs w:val="1"/>
                <w:color w:val="548dd4"/>
                <w:sz w:val="20"/>
                <w:szCs w:val="20"/>
                <w:rtl w:val="0"/>
              </w:rPr>
              <w:t>Desarrollaremos una app móvil funcional para iOS y Android. El cliente podrá registrarse, iniciar sesión, buscar por categoría y comuna, revisar perfiles, solicitar un servicio, aceptar o rechazar una cotización, seguir el trabajo y valorar al finalizar. El prestador podrá revisar solicitudes, cotizar y actualizar estados. Habrá cuentas de prueba y persistencia compartida entre teléfonos. Se propone React Native con Expo y TypeScript, API monolítica Django REST Framework y SQLite local en el Mac M1. Expo Go permitirá abrir la app mediante QR en una red compartida. Django Admin cubrirá la gestión interna. Los pagos y antecedentes profesionales serán demostrativos; quedan fuera pagos reales, login social, chat en tiempo real, GPS y publicación en tiendas.</w:t>
            </w:r>
          </w:p>
        </w:tc>
      </w:tr>
      <w:tr>
        <w:trPr>
          <w:cantSplit w:val="0"/>
          <w:trHeight w:val="866"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1">
            <w:pPr>
              <w:jc w:val="both"/>
              <w:rPr>
                <w:rFonts w:ascii="Calibri" w:cs="Calibri" w:eastAsia="Calibri" w:hAnsi="Calibri"/>
                <w:i w:val="1"/>
                <w:iCs w:val="1"/>
                <w:color w:val="548dd4"/>
                <w:sz w:val="20"/>
                <w:szCs w:val="20"/>
              </w:rPr>
            </w:pPr>
            <w:r>
              <w:rPr>
                <w:i w:val="1"/>
                <w:iCs w:val="1"/>
                <w:color w:val="548dd4"/>
                <w:sz w:val="20"/>
                <w:szCs w:val="20"/>
                <w:rtl w:val="0"/>
              </w:rPr>
              <w:t>El proyecto integra análisis de requisitos, diseño de arquitectura, modelado relacional, desarrollo, pruebas y gestión del ciclo de vida del software. Benjamín implementará toda la app, API, base de datos, integración, configuración técnica de Docker y pruebas automatizadas. Daniel elaborará requisitos, planificación e informes; Felipe preparará pruebas manuales, registro de resultados y material audiovisual. El diseño incluirá arquitectura, modelo entidad-relación y UML de casos de uso, secuencia principal y componentes; clases cuando aporte al diseño. Los entregables y el historial del repositorio permitirán identificar aportes individuales dentro de la evidencia grupal.</w:t>
            </w:r>
          </w:p>
        </w:tc>
      </w:tr>
      <w:tr>
        <w:trPr>
          <w:cantSplit w:val="0"/>
          <w:trHeight w:val="866"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highlight w:val="yellow"/>
              </w:rPr>
            </w:pPr>
            <w:r>
              <w:rPr>
                <w:i w:val="1"/>
                <w:iCs w:val="1"/>
                <w:color w:val="548dd4"/>
                <w:sz w:val="20"/>
                <w:szCs w:val="20"/>
                <w:rtl w:val="0"/>
              </w:rPr>
              <w:t>FIX&amp;GO permite aplicar la experiencia académica previa del equipo a una solución móvil. Benjamín orientará su trabajo al desarrollo integral de software y la resolución de problemas técnicos. Daniel y Felipe aportarán al análisis, organización, documentación y validación. La distribución permite profundizar en intereses profesionales y explicar decisiones y aprendizajes propios. Los mockups anteriores se usarán como referencia visual; el funcionamiento del MVP se construirá durante Capstone.</w:t>
            </w:r>
          </w:p>
        </w:tc>
      </w:tr>
      <w:tr>
        <w:trPr>
          <w:cantSplit w:val="0"/>
          <w:trHeight w:val="132" w:hRule="atLeast"/>
          <w:tblHeader w:val="0"/>
          <w:cantSplit/>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5">
            <w:pPr>
              <w:spacing w:after="24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La planificación comprende 18 semanas: definición en S1–4, desarrollo hasta S15 y defensa en S17–18. Para Benjamín se estiman 6 horas semanales flexibles en S5–15: dos bloques de 45 minutos entre semana y 2 y 2,5 horas el fin de semana, fuera de sus compromisos. Son 66 horas brutas, con unas 56 planificadas y 10 de reserva; se revisarán semanalmente. Daniel y Felipe asumirán la mayor parte de documentación y pruebas manuales.</w:t>
              <w:br/>
              <w:t>El desembolso adicional previsto es $0 CLP, utilizando Mac M1 2020 de 8 GB, teléfonos y conectividad existentes. No se contratarán nube ni dominio. ChatGPT Plus es un recurso de apoyo ya disponible, sin imputar toda su suscripción como gasto del proyecto. Las comisiones y proyecciones comerciales no financiarán este MVP académico. El alcance se priorizará según capacidad; se ensayarán Wi-Fi y punto de acceso, con respaldo de datos y video de la demo.</w:t>
            </w:r>
          </w:p>
        </w:tc>
      </w:tr>
    </w:tbl>
    <w:p w:rsidR="00000000" w:rsidDel="00000000" w:rsidP="00000000" w:rsidRDefault="00000000" w:rsidRPr="00000000" w14:paraId="000000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E">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2">
            <w:pPr>
              <w:jc w:val="both"/>
              <w:rPr>
                <w:rFonts w:ascii="Calibri" w:cs="Calibri" w:eastAsia="Calibri" w:hAnsi="Calibri"/>
                <w:i w:val="1"/>
                <w:iCs w:val="1"/>
                <w:sz w:val="20"/>
                <w:szCs w:val="20"/>
              </w:rPr>
            </w:pPr>
            <w:r>
              <w:rPr>
                <w:i w:val="1"/>
                <w:iCs w:val="1"/>
                <w:sz w:val="20"/>
                <w:szCs w:val="20"/>
                <w:rtl w:val="0"/>
              </w:rPr>
              <w:t>Desarrollar y validar, al cierre de la semana 15, un MVP móvil funcional de FIX&amp;GO para iOS y Android que permita completar el recorrido de contratación entre cliente y prestador de servicios de gas, electricidad y agua en Santiago, conservando los datos en un entorno local.</w:t>
            </w:r>
          </w:p>
        </w:tc>
      </w:tr>
      <w:tr>
        <w:trPr>
          <w:cantSplit w:val="0"/>
          <w:trHeight w:val="834"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Definir visión del producto, usuarios, alcance y backlog priorizado con criterios de aceptación.</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Diseñar arquitectura, modelo relacional, UML y requisitos no funcionales del MVP.</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Implementar registro, acceso por rol, búsqueda, solicitud, cotización, seguimiento y valoración con persistencia.</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Preparar despliegue local reproducible de la API con Docker, variables de entorno y manual de ejecución.</w:t>
            </w:r>
          </w:p>
          <w:p w:rsidR="00000000" w:rsidDel="00000000" w:rsidP="00000000" w:rsidRDefault="00000000" w:rsidRPr="00000000" w14:paraId="00000044">
            <w:pPr>
              <w:spacing w:after="80" w:line="276" w:lineRule="auto"/>
              <w:jc w:val="both"/>
              <w:rPr>
                <w:b w:val="1"/>
                <w:bCs w:val="1"/>
                <w:i w:val="1"/>
                <w:iCs w:val="1"/>
                <w:sz w:val="20"/>
                <w:szCs w:val="20"/>
              </w:rPr>
            </w:pPr>
            <w:r>
              <w:rPr>
                <w:b w:val="1"/>
                <w:bCs w:val="1"/>
                <w:i w:val="1"/>
                <w:iCs w:val="1"/>
                <w:sz w:val="20"/>
                <w:szCs w:val="20"/>
                <w:rtl w:val="0"/>
              </w:rPr>
              <w:t>• Verificar el recorrido en ambos sistemas móviles mediante pruebas unitarias, de integración, seguridad y rendimiento acotado, registrando resultados y correcciones.</w:t>
            </w:r>
          </w:p>
        </w:tc>
      </w:tr>
    </w:tbl>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C">
            <w:pPr>
              <w:pageBreakBefore/>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Se utilizará Kanban con ciclos semanales de planificación y revisión. Daniel mantendrá un Product Backlog priorizado y un tablero con pendientes, en curso, en revisión y terminados. Cada historia tendrá responsable y criterios de aceptación; se limitará a una tarea de programación principal en curso. El registro semanal de trabajo previsto y realizado cumplirá la función de seguimiento del Sprint Backlog solicitado en el anexo, sin declarar que el equipo aplica Scrum completo.</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Fase 1, S1–4: definición y justificación del MVP, Product Vision, backlog inicial, requisitos no funcionales, diseño preliminar, plan de trabajo y Gantt. La EVA 1 consiste en encargo grupal con presentación, pondera 20% de la nota semestral y será evaluada por el docente mediante rúbrica. La retroalimentación se registrará al recibirla y se convertirá en mejoras para la siguiente fase. La autoevaluación 1.1 y el diario 1.2 son evidencias individuales complementarias.</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Fase 2, S5–15: implementación incremental; actualización metodológica en S6, avance sin presentación en S10 y entrega del MVP, informe y presentación en S15. Se versionarán diseño, backlog, plan de pruebas y resultados. La Definition of Done exigirá cumplir criterios, persistir datos, respetar permisos y registrar pruebas sin errores bloqueantes. Felipe verificará iOS y Android; Benjamín ejecutará pruebas técnicas y corregirá el código. Se documentarán revisiones y retrospectivas breves.</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El anexo incorpora Docker: la API tendrá Dockerfile, Compose, variables de entorno y volumen persistente para SQLite. Expo se ejecutará en el Mac y los teléfonos físicos accederán por la red compartida. Se comprobará compatibilidad ARM64 y consumo en el Mac de 8 GB, evitando emuladores simultáneos. Esto mantiene el despliegue local sin nube contratada. Daniel redactará el manual y Benjamín aportará comandos y configuración verificados.</w:t>
            </w:r>
          </w:p>
          <w:p w:rsidR="00000000" w:rsidDel="00000000" w:rsidP="00000000" w:rsidRDefault="00000000" w:rsidRPr="00000000" w14:paraId="00000050">
            <w:pPr>
              <w:spacing w:after="80" w:line="276" w:lineRule="auto"/>
              <w:jc w:val="both"/>
              <w:rPr>
                <w:rFonts w:ascii="Arial" w:cs="Arial" w:eastAsia="Arial" w:hAnsi="Arial"/>
                <w:i w:val="1"/>
                <w:iCs w:val="1"/>
                <w:color w:val="548dd4"/>
                <w:sz w:val="20"/>
                <w:szCs w:val="20"/>
              </w:rPr>
            </w:pPr>
            <w:r>
              <w:rPr>
                <w:rFonts w:ascii="Arial" w:cs="Arial" w:eastAsia="Arial" w:hAnsi="Arial"/>
                <w:i w:val="1"/>
                <w:iCs w:val="1"/>
                <w:color w:val="548dd4"/>
                <w:sz w:val="20"/>
                <w:szCs w:val="20"/>
                <w:rtl w:val="0"/>
              </w:rPr>
              <w:t>Fase 3, S16–18: organizar evidencias, incorporar retroalimentación y ensayar la defensa. El informe de cierre explicará problema, diferencia y valor agregado de la solución. GitHub reunirá documentación y código hasta S18; el README describirá proyecto, tecnologías, roles, metodología, arquitectura e instrucciones verificadas cuando exista implementación. Las pruebas con equipo y usuarios cercanos serán exploratorias, con resultados reales y datos ficticios.</w:t>
            </w:r>
          </w:p>
        </w:tc>
      </w:tr>
    </w:tbl>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8">
            <w:pPr>
              <w:pageBreakBefore/>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9">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blHeader w:val="0"/>
          <w:cantSplit/>
          <w:tblHeader/>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blHeader w:val="0"/>
          <w:cantSplit/>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EVA 1</w:t>
              <w:br/>
              <w:t>S1–4</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Definición y planificación del MVP</w:t>
            </w:r>
          </w:p>
        </w:tc>
        <w:tc>
          <w:tcPr/>
          <w:p w:rsidR="00000000" w:rsidDel="00000000" w:rsidP="00000000" w:rsidRDefault="00000000" w:rsidRPr="00000000" w14:paraId="00000062">
            <w:pPr>
              <w:jc w:val="both"/>
              <w:rPr>
                <w:rFonts w:ascii="Calibri" w:cs="Calibri" w:eastAsia="Calibri" w:hAnsi="Calibri"/>
                <w:i w:val="1"/>
                <w:iCs w:val="1"/>
                <w:color w:val="4472c4"/>
                <w:sz w:val="18"/>
                <w:szCs w:val="18"/>
              </w:rPr>
            </w:pPr>
            <w:r>
              <w:rPr>
                <w:rFonts w:ascii="Calibri" w:cs="Calibri" w:eastAsia="Calibri" w:hAnsi="Calibri"/>
                <w:i w:val="1"/>
                <w:iCs w:val="1"/>
                <w:color w:val="4472c4"/>
                <w:sz w:val="18"/>
                <w:szCs w:val="18"/>
                <w:rtl w:val="0"/>
              </w:rPr>
              <w:t>Guía 1.5 completa; visión del producto; backlog priorizado; alcance, requisitos y diseño preliminar; plan y Gantt. Daniel consolida; Felipe revisa claridad y trazabilidad; Benjamín valida factibilidad técnica.</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Fundamenta relevancia, competencias, objetivos, método y factibilidad. Responde a IL1.1–IL1.3 y sustenta el encargo de EVA 1.</w:t>
            </w:r>
          </w:p>
        </w:tc>
      </w:tr>
      <w:tr>
        <w:trPr>
          <w:cantSplit w:val="0"/>
          <w:tblHeader w:val="0"/>
          <w:cantSplit/>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EVA 1</w:t>
              <w:br/>
              <w:t>S1–4</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Presentación y plan de mejoras</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Diapositivas y exposición del equipo sobre problema, solución móvil, alcance y plan. Se entrega con el encargo. Tras recibir la rúbrica, Daniel registra fortalezas, mejoras, responsables y acciones para Fase 2.</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EVA 1: encargo con presentación, 20% semestral; evaluación docente con rúbrica. Permite valorar forma y calidad (IL1.4–IL1.5), y orientar mejoras. No presupone una calificación.</w:t>
            </w:r>
          </w:p>
        </w:tc>
      </w:tr>
      <w:tr>
        <w:trPr>
          <w:cantSplit w:val="0"/>
          <w:tblHeader w:val="0"/>
          <w:cantSplit/>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Avance</w:t>
              <w:br/>
              <w:t>S10</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MVP parcial y artefactos versionados</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Informe sin presentación; acceso por rol, búsqueda, solicitud y cotización en teléfono. Diseño, backlog/tablero, Definition of Done, revisiones y plan de pruebas con resultados disponibles. Benjamín: código; Daniel: informe; Felipe: registros.</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Relaciona requisitos con avance observable y aportes. Documenta qué funciona, hallazgos y ajustes; no presenta pruebas pendientes como aprobadas.</w:t>
            </w:r>
          </w:p>
        </w:tc>
      </w:tr>
      <w:tr>
        <w:trPr>
          <w:cantSplit w:val="0"/>
          <w:tblHeader w:val="0"/>
          <w:cantSplit/>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Grupal · Final</w:t>
              <w:br/>
              <w:t>S15 y S17–18</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MVP operativo y dossier de cierre</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S15: app, informe y presentación; diseño final, pruebas unitarias, integración, seguridad y rendimiento; manual y Docker. Capturas y video respaldan el recorrido. S17–18: defensa, portafolio y reflexión sobre innovación.</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Pr>
              <w:t>Acredita recorrido completo iOS/Android, persistencia, permisos y ausencia de bloqueos. Vincula resultados, despliegue reproducible y contribuciones individuales.</w:t>
            </w:r>
          </w:p>
        </w:tc>
      </w:tr>
    </w:tbl>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1">
            <w:pPr>
              <w:pageBreakBefore/>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blHeader/>
        </w:trPr>
        <w:tc>
          <w:tcPr>
            <w:gridSpan w:val="7"/>
          </w:tcPr>
          <w:p w:rsidR="00000000" w:rsidDel="00000000" w:rsidP="00000000" w:rsidRDefault="00000000" w:rsidRPr="00000000" w14:paraId="00000074">
            <w:pPr>
              <w:spacing w:after="0" w:before="0"/>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blHeader/>
        </w:trPr>
        <w:tc>
          <w:tcPr/>
          <w:p w:rsidR="00000000" w:rsidDel="00000000" w:rsidP="00000000" w:rsidRDefault="00000000" w:rsidRPr="00000000" w14:paraId="0000007B">
            <w:pPr>
              <w:spacing w:after="0" w:before="0"/>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C">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D">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E">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F">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0">
            <w:pPr>
              <w:spacing w:after="0" w:before="0"/>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1">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2">
            <w:pPr>
              <w:spacing w:after="0" w:before="0"/>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Análisis</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1. Definición</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Visión, backlog, diseño y plan.</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Guía y mockups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S1–3</w:t>
              <w:br/>
              <w:t>10/08–29/08</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equipo valida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Base de EVA 1.</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Comunicación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2. Exposición</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Presentar definición grupal.</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Informe y láminas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S4</w:t>
              <w:br/>
              <w:t>31/08–05/09</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y Felipe; equipo presenta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EVA 1: encargo y presentación; 20%.</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Desarrollo</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3. Base local</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App, API, acceso, SQLite y Docker.</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Mac y teléfonos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S5–6</w:t>
              <w:br/>
              <w:t>07/09–19/09</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 Daniel actualiza plan</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10 h. S6: plan actualizado.</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Desarrollo</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4. Flujo inicial</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Búsqueda, perfiles, solicitud y cotización.</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App y API</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S7–9</w:t>
              <w:br/>
              <w:t>21/09–10/10</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15 h. S8–9: revisión de avance.</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Calidad</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5. Avance</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Estabilizar flujo y entregar evidencia.</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Demo e informe</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S10</w:t>
              <w:br/>
              <w:t>12/10–17/10</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 código; Daniel/Felipe: evidencia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5 h. Sin presentación.</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Desarrollo</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6. Completar flujo</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Estados, cierre, valoración y permisos.</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Código y pruebas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S11–12</w:t>
              <w:br/>
              <w:t>19/10–31/10</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10 h. Aplicar revisión de S11.</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Calidad</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7. Validación</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Pruebas funcionales y técnicas; corregir.</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iOS, Android y Mac</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S13–14</w:t>
              <w:br/>
              <w:t>02/11–14/11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Felipe: pruebas; Benjamín: código</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10 h. Datos persistentes.</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Integración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8. Entrega MVP</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App, manual, informe y demostración.</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App, informe y video</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S15</w:t>
              <w:br/>
              <w:t>16/11–21/11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Benjamín: app; Daniel/Felipe: entrega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Meta técnica: 6 h. Desarrollo final.</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Reflexión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9. Preparar defensa</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Incorporar revisión y ensayar.</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Guía y demo</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S16</w:t>
              <w:br/>
              <w:t>23/11–28/11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y Felipe; equipo ensaya</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No ampliar funciones.</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Comunicación</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10. Defensa</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Presentar resultado y aportes.</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Demo y portafolio</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S17–18</w:t>
              <w:br/>
              <w:t>30/11–12/12</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Cada integrante</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Ventana final del Excel.</w:t>
            </w:r>
          </w:p>
        </w:tc>
      </w:tr>
      <w:tr>
        <w:trPr>
          <w:cantSplit w:val="0"/>
          <w:tblHeader w:val="0"/>
          <w:cantSplit/>
        </w:trPr>
        <w:tc>
          <w:tcPr/>
          <w:p w:rsidR="00000000" w:rsidDel="00000000" w:rsidP="00000000" w:rsidRDefault="00000000" w:rsidRPr="00000000" w14:paraId="00000083">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Gestión y calidad</w:t>
            </w:r>
          </w:p>
        </w:tc>
        <w:tc>
          <w:tcPr/>
          <w:p w:rsidR="00000000" w:rsidDel="00000000" w:rsidP="00000000" w:rsidRDefault="00000000" w:rsidRPr="00000000" w14:paraId="00000084">
            <w:pPr>
              <w:spacing w:after="0" w:before="0"/>
              <w:jc w:val="both"/>
              <w:rPr>
                <w:b w:val="1"/>
                <w:bCs w:val="1"/>
                <w:sz w:val="18"/>
                <w:szCs w:val="18"/>
              </w:rPr>
            </w:pPr>
            <w:r>
              <w:rPr>
                <w:rFonts w:ascii="Calibri" w:cs="Calibri" w:eastAsia="Calibri" w:hAnsi="Calibri"/>
                <w:i w:val="1"/>
                <w:iCs w:val="1"/>
                <w:color w:val="548dd4"/>
                <w:sz w:val="18"/>
                <w:szCs w:val="18"/>
                <w:rtl w:val="0"/>
              </w:rPr>
              <w:t>11. Apoyo continuo</w:t>
            </w:r>
          </w:p>
        </w:tc>
        <w:tc>
          <w:tcPr/>
          <w:p w:rsidR="00000000" w:rsidDel="00000000" w:rsidP="00000000" w:rsidRDefault="00000000" w:rsidRPr="00000000" w14:paraId="00000085">
            <w:pPr>
              <w:spacing w:after="0" w:before="0"/>
              <w:jc w:val="both"/>
              <w:rPr>
                <w:b w:val="1"/>
                <w:bCs w:val="1"/>
                <w:sz w:val="18"/>
                <w:szCs w:val="18"/>
              </w:rPr>
            </w:pPr>
            <w:r>
              <w:rPr>
                <w:rFonts w:ascii="Calibri" w:cs="Calibri" w:eastAsia="Calibri" w:hAnsi="Calibri"/>
                <w:i w:val="1"/>
                <w:iCs w:val="1"/>
                <w:color w:val="548dd4"/>
                <w:sz w:val="18"/>
                <w:szCs w:val="18"/>
                <w:rtl w:val="0"/>
              </w:rPr>
              <w:t>Documentar, preparar pruebas y evidencias.</w:t>
            </w:r>
          </w:p>
        </w:tc>
        <w:tc>
          <w:tcPr/>
          <w:p w:rsidR="00000000" w:rsidDel="00000000" w:rsidP="00000000" w:rsidRDefault="00000000" w:rsidRPr="00000000" w14:paraId="00000086">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GitHub y documentos</w:t>
            </w:r>
          </w:p>
        </w:tc>
        <w:tc>
          <w:tcPr>
            <w:tcBorders>
              <w:right w:color="ffffff" w:space="0" w:sz="4" w:val="single"/>
            </w:tcBorders>
          </w:tcPr>
          <w:p w:rsidR="00000000" w:rsidDel="00000000" w:rsidP="00000000" w:rsidRDefault="00000000" w:rsidRPr="00000000" w14:paraId="00000087">
            <w:pPr>
              <w:spacing w:after="0" w:before="0"/>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S5–15</w:t>
              <w:br/>
              <w:t>07/09–21/11</w:t>
            </w:r>
          </w:p>
        </w:tc>
        <w:tc>
          <w:tcPr>
            <w:tcBorders>
              <w:left w:color="ffffff" w:space="0" w:sz="4" w:val="single"/>
            </w:tcBorders>
            <w:shd w:fill="d9d9d9" w:val="clear"/>
          </w:tcPr>
          <w:p w:rsidR="00000000" w:rsidDel="00000000" w:rsidP="00000000" w:rsidRDefault="00000000" w:rsidRPr="00000000" w14:paraId="00000089">
            <w:pPr>
              <w:spacing w:after="0" w:before="0"/>
              <w:jc w:val="both"/>
              <w:rPr>
                <w:b w:val="1"/>
                <w:bCs w:val="1"/>
                <w:sz w:val="18"/>
                <w:szCs w:val="18"/>
              </w:rPr>
            </w:pPr>
            <w:r>
              <w:rPr>
                <w:rFonts w:ascii="Calibri" w:cs="Calibri" w:eastAsia="Calibri" w:hAnsi="Calibri"/>
                <w:i w:val="1"/>
                <w:iCs w:val="1"/>
                <w:color w:val="548dd4"/>
                <w:sz w:val="18"/>
                <w:szCs w:val="18"/>
                <w:rtl w:val="0"/>
              </w:rPr>
              <w:t>Daniel: informe; Felipe: pruebas y video</w:t>
            </w:r>
          </w:p>
        </w:tc>
        <w:tc>
          <w:tcPr/>
          <w:p w:rsidR="00000000" w:rsidDel="00000000" w:rsidP="00000000" w:rsidRDefault="00000000" w:rsidRPr="00000000" w14:paraId="0000008A">
            <w:pPr>
              <w:spacing w:after="0" w:before="0"/>
              <w:jc w:val="both"/>
              <w:rPr>
                <w:b w:val="1"/>
                <w:bCs w:val="1"/>
                <w:sz w:val="18"/>
                <w:szCs w:val="18"/>
              </w:rPr>
            </w:pPr>
            <w:r>
              <w:rPr>
                <w:rFonts w:ascii="Calibri" w:cs="Calibri" w:eastAsia="Calibri" w:hAnsi="Calibri"/>
                <w:i w:val="1"/>
                <w:iCs w:val="1"/>
                <w:color w:val="548dd4"/>
                <w:sz w:val="18"/>
                <w:szCs w:val="18"/>
                <w:rtl w:val="0"/>
              </w:rPr>
              <w:t>Trabajo paralelo sin asignar código a otros.</w:t>
            </w:r>
          </w:p>
        </w:tc>
      </w:tr>
    </w:tbl>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A">
            <w:pPr>
              <w:pageBreakBefore/>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tbl>
      <w:tblPr>
        <w:tblStyle w:val="Tablaconcuadrcula"/>
        <w:tblW w:w="9285" w:type="dxa"/>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72"/>
        <w:gridCol w:w="412"/>
        <w:gridCol w:w="412"/>
        <w:gridCol w:w="412"/>
        <w:gridCol w:w="412"/>
        <w:gridCol w:w="412"/>
        <w:gridCol w:w="412"/>
        <w:gridCol w:w="412"/>
        <w:gridCol w:w="412"/>
        <w:gridCol w:w="412"/>
        <w:gridCol w:w="412"/>
        <w:gridCol w:w="412"/>
        <w:gridCol w:w="412"/>
        <w:gridCol w:w="412"/>
        <w:gridCol w:w="412"/>
        <w:gridCol w:w="412"/>
        <w:gridCol w:w="412"/>
        <w:gridCol w:w="412"/>
        <w:gridCol w:w="412"/>
      </w:tblGrid>
      <w:tr>
        <w:trPr>
          <w:cantSplit/>
          <w:tblHeader/>
        </w:trPr>
        <w:tc>
          <w:tcPr>
            <w:tcW w:type="dxa" w:w="1872"/>
            <w:vMerge w:val="restart"/>
          </w:tcPr>
          <w:p>
            <w:pPr>
              <w:keepNext w:val="0"/>
              <w:keepLines w:val="0"/>
              <w:spacing w:after="80" w:before="40" w:line="252" w:lineRule="auto"/>
              <w:jc w:val="left"/>
            </w:pPr>
            <w:r>
              <w:rPr>
                <w:b w:val="1"/>
                <w:bCs w:val="1"/>
                <w:sz w:val="16"/>
                <w:szCs w:val="16"/>
                <w:rtl w:val="0"/>
              </w:rPr>
              <w:t>Actividad</w:t>
            </w:r>
          </w:p>
        </w:tc>
        <w:tc>
          <w:tcPr>
            <w:tcW w:type="dxa" w:w="1792"/>
            <w:gridSpan w:val="4"/>
            <w:shd w:fill="E2EFD9"/>
          </w:tcPr>
          <w:p>
            <w:pPr>
              <w:keepNext w:val="0"/>
              <w:keepLines w:val="0"/>
              <w:spacing w:after="80" w:before="40" w:line="252" w:lineRule="auto"/>
              <w:jc w:val="left"/>
            </w:pPr>
            <w:r>
              <w:rPr>
                <w:b w:val="1"/>
                <w:bCs w:val="1"/>
                <w:sz w:val="16"/>
                <w:szCs w:val="16"/>
                <w:rtl w:val="0"/>
              </w:rPr>
              <w:t>Fase 1</w:t>
            </w:r>
          </w:p>
        </w:tc>
        <w:tc>
          <w:tcPr>
            <w:tcW w:type="dxa" w:w="4928"/>
            <w:gridSpan w:val="11"/>
            <w:shd w:fill="FFF2CC"/>
          </w:tcPr>
          <w:p>
            <w:pPr>
              <w:keepNext w:val="0"/>
              <w:keepLines w:val="0"/>
              <w:spacing w:after="80" w:before="40" w:line="252" w:lineRule="auto"/>
              <w:jc w:val="left"/>
            </w:pPr>
            <w:r>
              <w:rPr>
                <w:b w:val="1"/>
                <w:bCs w:val="1"/>
                <w:sz w:val="16"/>
                <w:szCs w:val="16"/>
                <w:rtl w:val="0"/>
              </w:rPr>
              <w:t>Fase 2</w:t>
            </w:r>
          </w:p>
        </w:tc>
        <w:tc>
          <w:tcPr>
            <w:tcW w:type="dxa" w:w="1344"/>
            <w:gridSpan w:val="3"/>
            <w:shd w:fill="FBE4D5"/>
          </w:tcPr>
          <w:p>
            <w:pPr>
              <w:keepNext w:val="0"/>
              <w:keepLines w:val="0"/>
              <w:spacing w:after="80" w:before="40" w:line="252" w:lineRule="auto"/>
              <w:jc w:val="left"/>
            </w:pPr>
            <w:r>
              <w:rPr>
                <w:b w:val="1"/>
                <w:bCs w:val="1"/>
                <w:sz w:val="16"/>
                <w:szCs w:val="16"/>
                <w:rtl w:val="0"/>
              </w:rPr>
              <w:t>Fase 3</w:t>
            </w:r>
          </w:p>
        </w:tc>
      </w:tr>
      <w:tr>
        <w:trPr>
          <w:cantSplit/>
          <w:tblHeader/>
        </w:trPr>
        <w:tc>
          <w:tcPr>
            <w:tcW w:type="dxa" w:w="448"/>
            <w:vMerge/>
          </w:tcPr>
          <w:p/>
        </w:tc>
        <w:tc>
          <w:tcPr>
            <w:tcW w:type="dxa" w:w="412"/>
          </w:tcPr>
          <w:p>
            <w:pPr>
              <w:keepNext w:val="0"/>
              <w:keepLines w:val="0"/>
              <w:spacing w:after="80" w:before="40" w:line="252" w:lineRule="auto"/>
              <w:jc w:val="left"/>
            </w:pPr>
            <w:r>
              <w:rPr>
                <w:b w:val="1"/>
                <w:bCs w:val="1"/>
                <w:sz w:val="16"/>
                <w:szCs w:val="16"/>
                <w:rtl w:val="0"/>
              </w:rPr>
              <w:t>1</w:t>
            </w:r>
          </w:p>
        </w:tc>
        <w:tc>
          <w:tcPr>
            <w:tcW w:type="dxa" w:w="412"/>
          </w:tcPr>
          <w:p>
            <w:pPr>
              <w:keepNext w:val="0"/>
              <w:keepLines w:val="0"/>
              <w:spacing w:after="80" w:before="40" w:line="252" w:lineRule="auto"/>
              <w:jc w:val="left"/>
            </w:pPr>
            <w:r>
              <w:rPr>
                <w:b w:val="1"/>
                <w:bCs w:val="1"/>
                <w:sz w:val="16"/>
                <w:szCs w:val="16"/>
                <w:rtl w:val="0"/>
              </w:rPr>
              <w:t>2</w:t>
            </w:r>
          </w:p>
        </w:tc>
        <w:tc>
          <w:tcPr>
            <w:tcW w:type="dxa" w:w="412"/>
          </w:tcPr>
          <w:p>
            <w:pPr>
              <w:keepNext w:val="0"/>
              <w:keepLines w:val="0"/>
              <w:spacing w:after="80" w:before="40" w:line="252" w:lineRule="auto"/>
              <w:jc w:val="left"/>
            </w:pPr>
            <w:r>
              <w:rPr>
                <w:b w:val="1"/>
                <w:bCs w:val="1"/>
                <w:sz w:val="16"/>
                <w:szCs w:val="16"/>
                <w:rtl w:val="0"/>
              </w:rPr>
              <w:t>3</w:t>
            </w:r>
          </w:p>
        </w:tc>
        <w:tc>
          <w:tcPr>
            <w:tcW w:type="dxa" w:w="412"/>
          </w:tcPr>
          <w:p>
            <w:pPr>
              <w:keepNext w:val="0"/>
              <w:keepLines w:val="0"/>
              <w:spacing w:after="80" w:before="40" w:line="252" w:lineRule="auto"/>
              <w:jc w:val="left"/>
            </w:pPr>
            <w:r>
              <w:rPr>
                <w:b w:val="1"/>
                <w:bCs w:val="1"/>
                <w:sz w:val="16"/>
                <w:szCs w:val="16"/>
                <w:rtl w:val="0"/>
              </w:rPr>
              <w:t>4</w:t>
            </w:r>
          </w:p>
        </w:tc>
        <w:tc>
          <w:tcPr>
            <w:tcW w:type="dxa" w:w="412"/>
          </w:tcPr>
          <w:p>
            <w:pPr>
              <w:keepNext w:val="0"/>
              <w:keepLines w:val="0"/>
              <w:spacing w:after="80" w:before="40" w:line="252" w:lineRule="auto"/>
              <w:jc w:val="left"/>
            </w:pPr>
            <w:r>
              <w:rPr>
                <w:b w:val="1"/>
                <w:bCs w:val="1"/>
                <w:sz w:val="16"/>
                <w:szCs w:val="16"/>
                <w:rtl w:val="0"/>
              </w:rPr>
              <w:t>5</w:t>
            </w:r>
          </w:p>
        </w:tc>
        <w:tc>
          <w:tcPr>
            <w:tcW w:type="dxa" w:w="412"/>
          </w:tcPr>
          <w:p>
            <w:pPr>
              <w:keepNext w:val="0"/>
              <w:keepLines w:val="0"/>
              <w:spacing w:after="80" w:before="40" w:line="252" w:lineRule="auto"/>
              <w:jc w:val="left"/>
            </w:pPr>
            <w:r>
              <w:rPr>
                <w:b w:val="1"/>
                <w:bCs w:val="1"/>
                <w:sz w:val="16"/>
                <w:szCs w:val="16"/>
                <w:rtl w:val="0"/>
              </w:rPr>
              <w:t>6</w:t>
            </w:r>
          </w:p>
        </w:tc>
        <w:tc>
          <w:tcPr>
            <w:tcW w:type="dxa" w:w="412"/>
          </w:tcPr>
          <w:p>
            <w:pPr>
              <w:keepNext w:val="0"/>
              <w:keepLines w:val="0"/>
              <w:spacing w:after="80" w:before="40" w:line="252" w:lineRule="auto"/>
              <w:jc w:val="left"/>
            </w:pPr>
            <w:r>
              <w:rPr>
                <w:b w:val="1"/>
                <w:bCs w:val="1"/>
                <w:sz w:val="16"/>
                <w:szCs w:val="16"/>
                <w:rtl w:val="0"/>
              </w:rPr>
              <w:t>7</w:t>
            </w:r>
          </w:p>
        </w:tc>
        <w:tc>
          <w:tcPr>
            <w:tcW w:type="dxa" w:w="412"/>
          </w:tcPr>
          <w:p>
            <w:pPr>
              <w:keepNext w:val="0"/>
              <w:keepLines w:val="0"/>
              <w:spacing w:after="80" w:before="40" w:line="252" w:lineRule="auto"/>
              <w:jc w:val="left"/>
            </w:pPr>
            <w:r>
              <w:rPr>
                <w:b w:val="1"/>
                <w:bCs w:val="1"/>
                <w:sz w:val="16"/>
                <w:szCs w:val="16"/>
                <w:rtl w:val="0"/>
              </w:rPr>
              <w:t>8</w:t>
            </w:r>
          </w:p>
        </w:tc>
        <w:tc>
          <w:tcPr>
            <w:tcW w:type="dxa" w:w="412"/>
          </w:tcPr>
          <w:p>
            <w:pPr>
              <w:keepNext w:val="0"/>
              <w:keepLines w:val="0"/>
              <w:spacing w:after="80" w:before="40" w:line="252" w:lineRule="auto"/>
              <w:jc w:val="left"/>
            </w:pPr>
            <w:r>
              <w:rPr>
                <w:b w:val="1"/>
                <w:bCs w:val="1"/>
                <w:sz w:val="16"/>
                <w:szCs w:val="16"/>
                <w:rtl w:val="0"/>
              </w:rPr>
              <w:t>9</w:t>
            </w:r>
          </w:p>
        </w:tc>
        <w:tc>
          <w:tcPr>
            <w:tcW w:type="dxa" w:w="412"/>
          </w:tcPr>
          <w:p>
            <w:pPr>
              <w:keepNext w:val="0"/>
              <w:keepLines w:val="0"/>
              <w:spacing w:after="80" w:before="40" w:line="252" w:lineRule="auto"/>
              <w:jc w:val="left"/>
            </w:pPr>
            <w:r>
              <w:rPr>
                <w:b w:val="1"/>
                <w:bCs w:val="1"/>
                <w:sz w:val="16"/>
                <w:szCs w:val="16"/>
                <w:rtl w:val="0"/>
              </w:rPr>
              <w:t>10</w:t>
            </w:r>
          </w:p>
        </w:tc>
        <w:tc>
          <w:tcPr>
            <w:tcW w:type="dxa" w:w="412"/>
          </w:tcPr>
          <w:p>
            <w:pPr>
              <w:keepNext w:val="0"/>
              <w:keepLines w:val="0"/>
              <w:spacing w:after="80" w:before="40" w:line="252" w:lineRule="auto"/>
              <w:jc w:val="left"/>
            </w:pPr>
            <w:r>
              <w:rPr>
                <w:b w:val="1"/>
                <w:bCs w:val="1"/>
                <w:sz w:val="16"/>
                <w:szCs w:val="16"/>
                <w:rtl w:val="0"/>
              </w:rPr>
              <w:t>11</w:t>
            </w:r>
          </w:p>
        </w:tc>
        <w:tc>
          <w:tcPr>
            <w:tcW w:type="dxa" w:w="412"/>
          </w:tcPr>
          <w:p>
            <w:pPr>
              <w:keepNext w:val="0"/>
              <w:keepLines w:val="0"/>
              <w:spacing w:after="80" w:before="40" w:line="252" w:lineRule="auto"/>
              <w:jc w:val="left"/>
            </w:pPr>
            <w:r>
              <w:rPr>
                <w:b w:val="1"/>
                <w:bCs w:val="1"/>
                <w:sz w:val="16"/>
                <w:szCs w:val="16"/>
                <w:rtl w:val="0"/>
              </w:rPr>
              <w:t>12</w:t>
            </w:r>
          </w:p>
        </w:tc>
        <w:tc>
          <w:tcPr>
            <w:tcW w:type="dxa" w:w="412"/>
          </w:tcPr>
          <w:p>
            <w:pPr>
              <w:keepNext w:val="0"/>
              <w:keepLines w:val="0"/>
              <w:spacing w:after="80" w:before="40" w:line="252" w:lineRule="auto"/>
              <w:jc w:val="left"/>
            </w:pPr>
            <w:r>
              <w:rPr>
                <w:b w:val="1"/>
                <w:bCs w:val="1"/>
                <w:sz w:val="16"/>
                <w:szCs w:val="16"/>
                <w:rtl w:val="0"/>
              </w:rPr>
              <w:t>13</w:t>
            </w:r>
          </w:p>
        </w:tc>
        <w:tc>
          <w:tcPr>
            <w:tcW w:type="dxa" w:w="412"/>
          </w:tcPr>
          <w:p>
            <w:pPr>
              <w:keepNext w:val="0"/>
              <w:keepLines w:val="0"/>
              <w:spacing w:after="80" w:before="40" w:line="252" w:lineRule="auto"/>
              <w:jc w:val="left"/>
            </w:pPr>
            <w:r>
              <w:rPr>
                <w:b w:val="1"/>
                <w:bCs w:val="1"/>
                <w:sz w:val="16"/>
                <w:szCs w:val="16"/>
                <w:rtl w:val="0"/>
              </w:rPr>
              <w:t>14</w:t>
            </w:r>
          </w:p>
        </w:tc>
        <w:tc>
          <w:tcPr>
            <w:tcW w:type="dxa" w:w="412"/>
          </w:tcPr>
          <w:p>
            <w:pPr>
              <w:keepNext w:val="0"/>
              <w:keepLines w:val="0"/>
              <w:spacing w:after="80" w:before="40" w:line="252" w:lineRule="auto"/>
              <w:jc w:val="left"/>
            </w:pPr>
            <w:r>
              <w:rPr>
                <w:b w:val="1"/>
                <w:bCs w:val="1"/>
                <w:sz w:val="16"/>
                <w:szCs w:val="16"/>
                <w:rtl w:val="0"/>
              </w:rPr>
              <w:t>15</w:t>
            </w:r>
          </w:p>
        </w:tc>
        <w:tc>
          <w:tcPr>
            <w:tcW w:type="dxa" w:w="412"/>
          </w:tcPr>
          <w:p>
            <w:pPr>
              <w:keepNext w:val="0"/>
              <w:keepLines w:val="0"/>
              <w:spacing w:after="80" w:before="40" w:line="252" w:lineRule="auto"/>
              <w:jc w:val="left"/>
            </w:pPr>
            <w:r>
              <w:rPr>
                <w:b w:val="1"/>
                <w:bCs w:val="1"/>
                <w:sz w:val="16"/>
                <w:szCs w:val="16"/>
                <w:rtl w:val="0"/>
              </w:rPr>
              <w:t>16</w:t>
            </w:r>
          </w:p>
        </w:tc>
        <w:tc>
          <w:tcPr>
            <w:tcW w:type="dxa" w:w="412"/>
          </w:tcPr>
          <w:p>
            <w:pPr>
              <w:keepNext w:val="0"/>
              <w:keepLines w:val="0"/>
              <w:spacing w:after="80" w:before="40" w:line="252" w:lineRule="auto"/>
              <w:jc w:val="left"/>
            </w:pPr>
            <w:r>
              <w:rPr>
                <w:b w:val="1"/>
                <w:bCs w:val="1"/>
                <w:sz w:val="16"/>
                <w:szCs w:val="16"/>
                <w:rtl w:val="0"/>
              </w:rPr>
              <w:t>17</w:t>
            </w:r>
          </w:p>
        </w:tc>
        <w:tc>
          <w:tcPr>
            <w:tcW w:type="dxa" w:w="412"/>
          </w:tcPr>
          <w:p>
            <w:pPr>
              <w:keepNext w:val="0"/>
              <w:keepLines w:val="0"/>
              <w:spacing w:after="80" w:before="40" w:line="252" w:lineRule="auto"/>
              <w:jc w:val="left"/>
            </w:pPr>
            <w:r>
              <w:rPr>
                <w:b w:val="1"/>
                <w:bCs w:val="1"/>
                <w:sz w:val="16"/>
                <w:szCs w:val="16"/>
                <w:rtl w:val="0"/>
              </w:rPr>
              <w:t>18</w:t>
            </w:r>
          </w:p>
        </w:tc>
      </w:tr>
      <w:tr>
        <w:trPr>
          <w:cantSplit/>
        </w:trPr>
        <w:tc>
          <w:tcPr>
            <w:tcW w:type="dxa" w:w="1872"/>
          </w:tcPr>
          <w:p>
            <w:pPr>
              <w:spacing w:line="360" w:lineRule="auto"/>
              <w:jc w:val="both"/>
              <w:rPr>
                <w:b w:val="1"/>
                <w:bCs w:val="1"/>
                <w:sz w:val="16"/>
                <w:szCs w:val="16"/>
              </w:rPr>
            </w:pPr>
            <w:r>
              <w:rPr>
                <w:b w:val="1"/>
                <w:bCs w:val="1"/>
                <w:sz w:val="16"/>
                <w:szCs w:val="16"/>
              </w:rPr>
              <w:t>1. Definición</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2. Exposición</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3. Base local</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4. Flujo inicial</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5. Avance</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6. Completar flujo</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7. Validación</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8. Entrega MVP</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9. Preparar defensa</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r>
        <w:trPr>
          <w:cantSplit/>
        </w:trPr>
        <w:tc>
          <w:tcPr>
            <w:tcW w:type="dxa" w:w="1872"/>
          </w:tcPr>
          <w:p>
            <w:pPr>
              <w:spacing w:line="360" w:lineRule="auto"/>
              <w:jc w:val="both"/>
              <w:rPr>
                <w:b w:val="1"/>
                <w:bCs w:val="1"/>
                <w:sz w:val="16"/>
                <w:szCs w:val="16"/>
              </w:rPr>
            </w:pPr>
            <w:r>
              <w:rPr>
                <w:b w:val="1"/>
                <w:bCs w:val="1"/>
                <w:sz w:val="16"/>
                <w:szCs w:val="16"/>
              </w:rPr>
              <w:t>10. Defensa</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r>
      <w:tr>
        <w:trPr>
          <w:cantSplit/>
        </w:trPr>
        <w:tc>
          <w:tcPr>
            <w:tcW w:type="dxa" w:w="1872"/>
          </w:tcPr>
          <w:p>
            <w:pPr>
              <w:spacing w:line="360" w:lineRule="auto"/>
              <w:jc w:val="both"/>
              <w:rPr>
                <w:b w:val="1"/>
                <w:bCs w:val="1"/>
                <w:sz w:val="16"/>
                <w:szCs w:val="16"/>
              </w:rPr>
            </w:pPr>
            <w:r>
              <w:rPr>
                <w:b w:val="1"/>
                <w:bCs w:val="1"/>
                <w:sz w:val="16"/>
                <w:szCs w:val="16"/>
              </w:rPr>
              <w:t>11. Apoyo continuo</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shd w:fill="D9E2F3"/>
          </w:tcPr>
          <w:p>
            <w:pPr>
              <w:spacing w:line="360" w:lineRule="auto"/>
              <w:jc w:val="both"/>
              <w:rPr>
                <w:b w:val="1"/>
                <w:bCs w:val="1"/>
                <w:sz w:val="16"/>
                <w:szCs w:val="16"/>
              </w:rPr>
            </w:pPr>
            <w:r>
              <w:rPr>
                <w:b w:val="1"/>
                <w:bCs w:val="1"/>
                <w:sz w:val="16"/>
                <w:szCs w:val="16"/>
              </w:rPr>
              <w:t>X</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c>
          <w:tcPr>
            <w:tcW w:type="dxa" w:w="412"/>
          </w:tcPr>
          <w:p>
            <w:pPr>
              <w:spacing w:line="360" w:lineRule="auto"/>
              <w:jc w:val="both"/>
              <w:rPr>
                <w:b w:val="1"/>
                <w:bCs w:val="1"/>
                <w:sz w:val="16"/>
                <w:szCs w:val="16"/>
              </w:rPr>
            </w:pPr>
            <w:r>
              <w:rPr>
                <w:b w:val="1"/>
                <w:bCs w:val="1"/>
                <w:sz w:val="16"/>
                <w:szCs w:val="16"/>
              </w:rPr>
              <w:t>—</w:t>
            </w:r>
          </w:p>
        </w:tc>
      </w:tr>
    </w:tbl>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1EUkQcZH+YLVfBzNIYqr5EV/Hw==">CgMxLjA4AHIhMXFLNU4tNHdUeUJxOGRJOVBjSlpFSUxZdHJzRG9iaHdp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2026-08-20T17:23:00Z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