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Aptos Display" w:hAnsi="Aptos Display"/>
          <w:b/>
          <w:i w:val="0"/>
          <w:color w:val="F6C445"/>
          <w:sz w:val="32"/>
        </w:rPr>
        <w:t>FIX &amp; GO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102A43"/>
          <w:sz w:val="60"/>
        </w:rPr>
        <w:t>Índice Ejecutivo de Documentación</w:t>
      </w:r>
    </w:p>
    <w:p>
      <w:pPr>
        <w:spacing w:after="480"/>
        <w:jc w:val="center"/>
      </w:pPr>
      <w:r>
        <w:rPr>
          <w:rFonts w:ascii="Aptos" w:hAnsi="Aptos"/>
          <w:b w:val="0"/>
          <w:i w:val="0"/>
          <w:color w:val="172B3A"/>
          <w:sz w:val="28"/>
        </w:rPr>
        <w:t>Mapa del paquete profesional de producto y desarrollo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PROPÓSITO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Fuente profesional para definir, validar y construir Fix &amp; Go sin confundir la visión comercial con el MVP académico.</w:t>
            </w:r>
          </w:p>
        </w:tc>
      </w:tr>
    </w:tbl>
    <w:p>
      <w:pPr>
        <w:spacing w:after="20"/>
      </w:pPr>
    </w:p>
    <w:p>
      <w:pPr>
        <w:spacing w:before="680"/>
        <w:jc w:val="center"/>
      </w:pPr>
      <w:r>
        <w:rPr>
          <w:rFonts w:ascii="Aptos" w:hAnsi="Aptos"/>
          <w:b/>
          <w:i w:val="0"/>
          <w:color w:val="52606D"/>
          <w:sz w:val="19"/>
        </w:rPr>
        <w:t>FGO-DOC-000  •  Versión 2.0</w:t>
        <w:br/>
        <w:t>2 de septiembre de 2026</w:t>
        <w:br/>
        <w:t>APT122-005D  •  Equipo por definir</w:t>
        <w:br/>
        <w:t>Benjamín Olmedo · Daniel Baeza · Felipe Arce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CONTROL DE FUENTE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Documento basado en el archivo FIX&amp;GO y la presentación Canva entregados por el equipo. Las cifras sin respaldo se mantienen como hipótesis por validar.</w:t>
            </w:r>
          </w:p>
        </w:tc>
      </w:tr>
    </w:tbl>
    <w:p>
      <w:pPr>
        <w:spacing w:after="20"/>
      </w:pPr>
    </w:p>
    <w:p>
      <w:pPr>
        <w:pStyle w:val="Heading1"/>
      </w:pPr>
      <w:r>
        <w:t>1. Propósito</w:t>
      </w:r>
    </w:p>
    <w:p>
      <w:pPr>
        <w:widowControl/>
      </w:pPr>
      <w:r>
        <w:t>Alinear al equipo en una definición única de Fix &amp; Go, separar hipótesis de decisiones y entregar una base verificable para el trabajo académico y técnico.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16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3744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4032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FGO-PROD-001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Documento Maestro del Producto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Visión, problema, usuarios, negocio y riesgos</w:t>
            </w:r>
          </w:p>
        </w:tc>
      </w:tr>
      <w:tr>
        <w:tc>
          <w:tcPr>
            <w:tcW w:type="dxa" w:w="2016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FGO-FUNC-001</w:t>
            </w:r>
          </w:p>
        </w:tc>
        <w:tc>
          <w:tcPr>
            <w:tcW w:type="dxa" w:w="374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Especificación Funcional del MVP</w:t>
            </w:r>
          </w:p>
        </w:tc>
        <w:tc>
          <w:tcPr>
            <w:tcW w:type="dxa" w:w="403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Capacidades, estados, permisos y aceptación</w:t>
            </w:r>
          </w:p>
        </w:tc>
      </w:tr>
      <w:tr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FGO-ARCH-001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Modelo de Dominio y Arquitectura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Datos, invariantes, stack, seguridad y evolución</w:t>
            </w:r>
          </w:p>
        </w:tc>
      </w:tr>
      <w:tr>
        <w:tc>
          <w:tcPr>
            <w:tcW w:type="dxa" w:w="2016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FGO-PLAN-001</w:t>
            </w:r>
          </w:p>
        </w:tc>
        <w:tc>
          <w:tcPr>
            <w:tcW w:type="dxa" w:w="3744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Roadmap y Plan de Validación</w:t>
            </w:r>
          </w:p>
        </w:tc>
        <w:tc>
          <w:tcPr>
            <w:tcW w:type="dxa" w:w="403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Etapas, experimentos, calidad y salida</w:t>
            </w:r>
          </w:p>
        </w:tc>
      </w:tr>
    </w:tbl>
    <w:p>
      <w:pPr>
        <w:spacing w:after="20"/>
      </w:pPr>
    </w:p>
    <w:p>
      <w:pPr>
        <w:pStyle w:val="Heading1"/>
      </w:pPr>
      <w:r>
        <w:t>2. Orden de lectura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Presentación académica: Maestro → Roadmap.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Diseño y UX: Maestro → Especificación → Roadmap.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Desarrollo: Especificación → Dominio y Arquitectura → Roadmap.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Validación: Maestro → Especificación → Roadmap.</w:t>
      </w:r>
    </w:p>
    <w:p>
      <w:pPr>
        <w:pStyle w:val="Heading1"/>
      </w:pPr>
      <w:r>
        <w:t>3. 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92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200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Producto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Fix &amp; Go</w:t>
            </w:r>
          </w:p>
        </w:tc>
      </w:tr>
      <w:tr>
        <w:tc>
          <w:tcPr>
            <w:tcW w:type="dxa" w:w="259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Versión</w:t>
            </w:r>
          </w:p>
        </w:tc>
        <w:tc>
          <w:tcPr>
            <w:tcW w:type="dxa" w:w="720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2.0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Fecha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2 de septiembre de 2026</w:t>
            </w:r>
          </w:p>
        </w:tc>
      </w:tr>
      <w:tr>
        <w:tc>
          <w:tcPr>
            <w:tcW w:type="dxa" w:w="259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Sección</w:t>
            </w:r>
          </w:p>
        </w:tc>
        <w:tc>
          <w:tcPr>
            <w:tcW w:type="dxa" w:w="720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APT122-005D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Equipo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Número pendiente</w:t>
            </w:r>
          </w:p>
        </w:tc>
      </w:tr>
      <w:tr>
        <w:tc>
          <w:tcPr>
            <w:tcW w:type="dxa" w:w="259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Estado</w:t>
            </w:r>
          </w:p>
        </w:tc>
        <w:tc>
          <w:tcPr>
            <w:tcW w:type="dxa" w:w="720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Base oficial para planificación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IDENTIDAD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Fix &amp; Go — Tu arreglo confiable, en un clic.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2606D"/>
        <w:sz w:val="15"/>
      </w:rPr>
      <w:t>Índice Ejecutivo de Documentación  •  2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52606D"/>
        <w:sz w:val="16"/>
      </w:rPr>
      <w:t>FIX &amp; GO  /  DOCUMENTACIÓN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B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B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Ejecutivo de Documentación</dc:title>
  <dc:subject>Índice del paquete documental</dc:subject>
  <dc:creator>Equipo Fix &amp; Go</dc:creator>
  <cp:keywords>Fix &amp; Go, APT122, servicios técnicos, plataforma, MVP</cp:keywords>
  <dc:description>Documento basado en la definición oficial consolidada de Fix &amp; Go.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