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Aptos Display" w:hAnsi="Aptos Display"/>
          <w:b/>
          <w:i w:val="0"/>
          <w:color w:val="F6C445"/>
          <w:sz w:val="32"/>
        </w:rPr>
        <w:t>FIX &amp; GO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102A43"/>
          <w:sz w:val="60"/>
        </w:rPr>
        <w:t>Documento Maestro del Producto</w:t>
      </w:r>
    </w:p>
    <w:p>
      <w:pPr>
        <w:spacing w:after="480"/>
        <w:jc w:val="center"/>
      </w:pPr>
      <w:r>
        <w:rPr>
          <w:rFonts w:ascii="Aptos" w:hAnsi="Aptos"/>
          <w:b w:val="0"/>
          <w:i w:val="0"/>
          <w:color w:val="172B3A"/>
          <w:sz w:val="28"/>
        </w:rPr>
        <w:t>Visión, alcance, modelo de negocio y riesgos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PROPÓSITO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Fuente profesional para definir, validar y construir Fix &amp; Go sin confundir la visión comercial con el MVP académico.</w:t>
            </w:r>
          </w:p>
        </w:tc>
      </w:tr>
    </w:tbl>
    <w:p>
      <w:pPr>
        <w:spacing w:after="20"/>
      </w:pPr>
    </w:p>
    <w:p>
      <w:pPr>
        <w:spacing w:before="680"/>
        <w:jc w:val="center"/>
      </w:pPr>
      <w:r>
        <w:rPr>
          <w:rFonts w:ascii="Aptos" w:hAnsi="Aptos"/>
          <w:b/>
          <w:i w:val="0"/>
          <w:color w:val="52606D"/>
          <w:sz w:val="19"/>
        </w:rPr>
        <w:t>FGO-PROD-001  •  Versión 2.0</w:t>
        <w:br/>
        <w:t>2 de septiembre de 2026</w:t>
        <w:br/>
        <w:t>APT122-005D  •  Equipo por definir</w:t>
        <w:br/>
        <w:t>Benjamín Olmedo · Daniel Baeza · Felipe Arce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CONTROL DE FUENTE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Documento basado en el archivo FIX&amp;GO y la presentación Canva entregados por el equipo. Las cifras sin respaldo se mantienen como hipótesis por validar.</w:t>
            </w:r>
          </w:p>
        </w:tc>
      </w:tr>
    </w:tbl>
    <w:p>
      <w:pPr>
        <w:spacing w:after="20"/>
      </w:pPr>
    </w:p>
    <w:p>
      <w:pPr>
        <w:pStyle w:val="Heading1"/>
      </w:pPr>
      <w:r>
        <w:t>1. Resumen ejecutivo</w:t>
      </w:r>
    </w:p>
    <w:p>
      <w:pPr>
        <w:widowControl/>
      </w:pPr>
      <w:r>
        <w:t>Fix &amp; Go es una plataforma web y móvil que conecta a clientes con profesionales cercanos y verificables para resolver servicios técnicos del hogar. La entrada se concentra en gas, electricidad y agua.</w:t>
      </w:r>
    </w:p>
    <w:p>
      <w:pPr>
        <w:widowControl/>
      </w:pPr>
      <w:r>
        <w:t>La solución reúne búsqueda, perfiles, credenciales, solicitudes, cotizaciones, mensajería, pago, seguimiento y reputación. El MVP académico representa el recorrido con datos ficticios e integraciones simuladas; el producto comercial exigirá infraestructura, cumplimiento y operación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PROPUESTA DE VALOR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Encontrar, contratar y evaluar a un profesional confiable desde un solo lugar.</w:t>
            </w:r>
          </w:p>
        </w:tc>
      </w:tr>
    </w:tbl>
    <w:p>
      <w:pPr>
        <w:spacing w:after="20"/>
      </w:pPr>
    </w:p>
    <w:p>
      <w:pPr>
        <w:pStyle w:val="Heading1"/>
      </w:pPr>
      <w:r>
        <w:t>2. Problema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Contratación fragmentada entre recomendaciones, redes sociales y avisos generales.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Poca información comparable sobre especialidad, cobertura, disponibilidad y precio.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Dificultad para comprobar identidad, certificaciones y experiencia.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Escasa trazabilidad de acuerdos, cambios, pagos y reclamos.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Profesionales formales con pocas herramientas para diferenciarse y construir reputación.</w:t>
      </w:r>
    </w:p>
    <w:p>
      <w:pPr>
        <w:pStyle w:val="Heading1"/>
      </w:pPr>
      <w:r>
        <w:t>3. Actores y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Actor</w:t>
            </w:r>
          </w:p>
        </w:tc>
        <w:tc>
          <w:tcPr>
            <w:tcW w:type="dxa" w:w="3888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Necesidad</w:t>
            </w:r>
          </w:p>
        </w:tc>
        <w:tc>
          <w:tcPr>
            <w:tcW w:type="dxa" w:w="4032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Cliente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Resolver con menor incertidumbre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Solicitud clara, seguimiento y respaldo</w:t>
            </w:r>
          </w:p>
        </w:tc>
      </w:tr>
      <w:tr>
        <w:tc>
          <w:tcPr>
            <w:tcW w:type="dxa" w:w="187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Profesional</w:t>
            </w:r>
          </w:p>
        </w:tc>
        <w:tc>
          <w:tcPr>
            <w:tcW w:type="dxa" w:w="388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Acceder a demanda y demostrar confianza</w:t>
            </w:r>
          </w:p>
        </w:tc>
        <w:tc>
          <w:tcPr>
            <w:tcW w:type="dxa" w:w="403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Oportunidades trazables y pago ordenado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Administrador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Proteger la operación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Validación, soporte y auditoría</w:t>
            </w:r>
          </w:p>
        </w:tc>
      </w:tr>
    </w:tbl>
    <w:p>
      <w:pPr>
        <w:spacing w:after="20"/>
      </w:pPr>
    </w:p>
    <w:p>
      <w:pPr>
        <w:pStyle w:val="Heading1"/>
      </w:pPr>
      <w:r>
        <w:t>4. Alcance de la visión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Perfiles diferenciados y permisos de cliente, profesional y administrador.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Verificación de identidad, especialidad y credenciales pertinentes.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Búsqueda por categoría, zona, disponibilidad, reputación y verificación.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Solicitud, cotización, agenda, mensajería y seguimiento.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Pago seguro, comisión, reembolso y disputa mediante proveedor externo.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Evaluaciones vinculadas a servicios completados y moderación trazable.</w:t>
      </w:r>
    </w:p>
    <w:p>
      <w:pPr>
        <w:pStyle w:val="Heading1"/>
      </w:pPr>
      <w:r>
        <w:t>5. Alcance del MVP académico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Datos e identidades completamente ficticios.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Recorrido completo para gas, electricidad y agua.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Verificación, mensajería, ubicación y pago simulados y etiquetados.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Pruebas con clientes y profesionales potenciales.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Sin dinero, documentos ni direcciones reales.</w:t>
      </w:r>
    </w:p>
    <w:p>
      <w:pPr>
        <w:pStyle w:val="Heading1"/>
      </w:pPr>
      <w:r>
        <w:t>6. Modelo de negocio preliminar</w:t>
      </w:r>
    </w:p>
    <w:p>
      <w:pPr>
        <w:widowControl/>
      </w:pPr>
      <w:r>
        <w:t>La hipótesis comercial es una comisión del 20 % por servicio completado. Un trabajo de $50.000 genera $10.000 de ingreso bruto para la plataforma.</w:t>
      </w:r>
    </w:p>
    <w:p>
      <w:pPr>
        <w:widowControl/>
      </w:pPr>
      <w:r>
        <w:t>La inversión inicial informada es $6.500.000 y los costos fijos mensuales se estiman entre $340.000 y $900.000. Con el ingreso unitario del ejemplo, el equilibrio contable está entre 34 y 90 servicios; 62 servicios equivale a un costo de $620.000. La recuperación en 1 año y 5 meses requiere un escenario financiero completo antes de comunicarse como proyección.</w:t>
      </w:r>
    </w:p>
    <w:p>
      <w:pPr>
        <w:pStyle w:val="Heading1"/>
      </w:pPr>
      <w:r>
        <w:t>7. Hipótesis críticas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La verificación visible aumenta confianza e intención de contratar.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Existe oferta suficiente de profesionales formales en las categorías iniciales.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Clientes y profesionales aceptan el proceso digital y la comisión.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La plataforma puede gestionar disputas sin un costo de soporte inviable.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Gas, electricidad y agua son un foco inicial manejable y relevante.</w:t>
      </w:r>
    </w:p>
    <w:p>
      <w:pPr>
        <w:pStyle w:val="Heading1"/>
      </w:pPr>
      <w:r>
        <w:t>8. Riesgos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Baja adopción o desequilibrio entre oferta y demanda.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Fraude, suplantación, filtración de datos y fallas de pago.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Credenciales difíciles de comprobar o con vigencias distintas.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Competencia de plataformas establecidas y precios informales.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Responsabilidad legal y reputacional por servicios deficientes.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Tiempo y presupuesto limitados del equipo académico.</w:t>
      </w:r>
    </w:p>
    <w:p>
      <w:pPr>
        <w:pStyle w:val="Heading1"/>
      </w:pPr>
      <w:r>
        <w:t>9. Expansión</w:t>
      </w:r>
    </w:p>
    <w:p>
      <w:pPr>
        <w:widowControl/>
      </w:pPr>
      <w:r>
        <w:t>Construcción, mecánica, barbería, gastronomía, kinesiología y otras categorías son oportunidades futuras. Cada una requiere validar demanda, oferta, seguridad y regulación antes de incorporarse.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CRITERIO DE ÉXITO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El MVP es exitoso si usuarios potenciales completan el recorrido, entienden la verificación y perciben más confianza y trazabilidad que en el proceso informal.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2606D"/>
        <w:sz w:val="15"/>
      </w:rPr>
      <w:t>Documento Maestro del Producto  •  2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52606D"/>
        <w:sz w:val="16"/>
      </w:rPr>
      <w:t>FIX &amp; GO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B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B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 del Producto</dc:title>
  <dc:subject>Visión y alcance de Fix &amp; Go</dc:subject>
  <dc:creator>Equipo Fix &amp; Go</dc:creator>
  <cp:keywords>Fix &amp; Go, APT122, servicios técnicos, plataforma, MVP</cp:keywords>
  <dc:description>Documento basado en la definición oficial consolidada de Fix &amp; Go.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