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Aptos Display" w:hAnsi="Aptos Display"/>
          <w:b/>
          <w:i w:val="0"/>
          <w:color w:val="F6C445"/>
          <w:sz w:val="32"/>
        </w:rPr>
        <w:t>FIX &amp; GO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102A43"/>
          <w:sz w:val="60"/>
        </w:rPr>
        <w:t>Especificación Funcional del MVP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172B3A"/>
          <w:sz w:val="28"/>
        </w:rPr>
        <w:t>Requisitos, estados, permisos y criterios de aceptación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PROPÓSITO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Fuente profesional para definir, validar y construir Fix &amp; Go sin confundir la visión comercial con el MVP académico.</w:t>
            </w:r>
          </w:p>
        </w:tc>
      </w:tr>
    </w:tbl>
    <w:p>
      <w:pPr>
        <w:spacing w:after="20"/>
      </w:pPr>
    </w:p>
    <w:p>
      <w:pPr>
        <w:spacing w:before="680"/>
        <w:jc w:val="center"/>
      </w:pPr>
      <w:r>
        <w:rPr>
          <w:rFonts w:ascii="Aptos" w:hAnsi="Aptos"/>
          <w:b/>
          <w:i w:val="0"/>
          <w:color w:val="52606D"/>
          <w:sz w:val="19"/>
        </w:rPr>
        <w:t>FGO-FUNC-001  •  Versión 2.0</w:t>
        <w:br/>
        <w:t>2 de septiembre de 2026</w:t>
        <w:br/>
        <w:t>APT122-005D  •  Equipo por definir</w:t>
        <w:br/>
        <w:t>Benjamín Olmedo · Daniel Baeza · Felipe Arce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CONTROL DE FUENTE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Documento basado en el archivo FIX&amp;GO y la presentación Canva entregados por el equipo. Las cifras sin respaldo se mantienen como hipótesis por validar.</w:t>
            </w:r>
          </w:p>
        </w:tc>
      </w:tr>
    </w:tbl>
    <w:p>
      <w:pPr>
        <w:spacing w:after="20"/>
      </w:pPr>
    </w:p>
    <w:p>
      <w:pPr>
        <w:pStyle w:val="Heading1"/>
      </w:pPr>
      <w:r>
        <w:t>1.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160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7632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Capacidades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Cliente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Buscar, solicitar, comparar, contratar, seguir, disputar y evaluar sus servicios</w:t>
            </w:r>
          </w:p>
        </w:tc>
      </w:tr>
      <w:tr>
        <w:tc>
          <w:tcPr>
            <w:tcW w:type="dxa" w:w="216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Profesional</w:t>
            </w:r>
          </w:p>
        </w:tc>
        <w:tc>
          <w:tcPr>
            <w:tcW w:type="dxa" w:w="763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Gestionar perfil, credenciales, disponibilidad, cotizaciones, trabajos y reputación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Administrador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Revisar credenciales, moderar, auditar y atender incidentes según privilegios</w:t>
            </w:r>
          </w:p>
        </w:tc>
      </w:tr>
    </w:tbl>
    <w:p>
      <w:pPr>
        <w:spacing w:after="20"/>
      </w:pPr>
    </w:p>
    <w:p>
      <w:pPr>
        <w:pStyle w:val="Heading1"/>
      </w:pPr>
      <w:r>
        <w:t>2. Descubrimiento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Buscar por gas, electricidad o agua y zona de cobertura.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Filtrar por disponibilidad, reputación y verificación.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Mostrar perfil, experiencia declarada, credenciales vigentes y evaluaciones elegibles.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No exponer dirección ni identidad privada durante la búsqueda.</w:t>
      </w:r>
    </w:p>
    <w:p>
      <w:pPr>
        <w:pStyle w:val="Heading1"/>
      </w:pPr>
      <w:r>
        <w:t>3. Solicitud y cotización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El cliente registra categoría, descripción, zona, urgencia, disponibilidad y adjuntos opcionales.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El profesional pregunta, rechaza o envía cotización con alcance, precio, fecha y vigencia.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El cliente compara y acepta una única cotización vigente.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Cada transición conserva actor, fecha y estado anterior/nuevo.</w:t>
      </w:r>
    </w:p>
    <w:p>
      <w:pPr>
        <w:pStyle w:val="Heading1"/>
      </w:pPr>
      <w:r>
        <w:t>4. Servicio, mensajes y cierre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La cotización aceptada crea el servicio contratado.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Cliente y profesional comparten agenda y mensajes asociados.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El profesional inicia y declara finalización; el cliente confirma, disputa o solicita revisión.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La plataforma conserva un historial cronológico comprensible.</w:t>
      </w:r>
    </w:p>
    <w:p>
      <w:pPr>
        <w:pStyle w:val="Heading1"/>
      </w:pPr>
      <w:r>
        <w:t>5. Verificación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La credencial registra tipo, emisor, vigencia, evidencia, estado, revisor y motivo.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Solo una aprobación vigente habilita el distintivo para la especialidad.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Rechazo, expiración o suspensión retiran el distintivo sin borrar historial.</w:t>
      </w:r>
    </w:p>
    <w:p>
      <w:pPr>
        <w:pStyle w:val="Heading1"/>
      </w:pPr>
      <w:r>
        <w:t>6. Pagos y reputación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El proveedor externo maneja los datos de pago; la plataforma conserva referencias y estados.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Liberación y reembolso son idempotentes y auditables.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La comisión, monto profesional, impuestos y ajustes se desglosan.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Solo participantes de un servicio completado pueden evaluarse.</w:t>
      </w:r>
    </w:p>
    <w:p>
      <w:pPr>
        <w:pStyle w:val="Heading1"/>
      </w:pPr>
      <w:r>
        <w:t>7. Estados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160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7632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Estados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Solicitud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Borrador, publicada, cotizada, asignada, cancelada, expirada</w:t>
            </w:r>
          </w:p>
        </w:tc>
      </w:tr>
      <w:tr>
        <w:tc>
          <w:tcPr>
            <w:tcW w:type="dxa" w:w="216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Cotización</w:t>
            </w:r>
          </w:p>
        </w:tc>
        <w:tc>
          <w:tcPr>
            <w:tcW w:type="dxa" w:w="763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Borrador, enviada, aceptada, rechazada, retirada, expirada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Servicio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Agendado, en progreso, esperando cliente, completado, cancelado, disputado</w:t>
            </w:r>
          </w:p>
        </w:tc>
      </w:tr>
      <w:tr>
        <w:tc>
          <w:tcPr>
            <w:tcW w:type="dxa" w:w="216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Credencial</w:t>
            </w:r>
          </w:p>
        </w:tc>
        <w:tc>
          <w:tcPr>
            <w:tcW w:type="dxa" w:w="763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Borrador, enviada, en revisión, aprobada, rechazada, expirada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Pago</w:t>
            </w:r>
          </w:p>
        </w:tc>
        <w:tc>
          <w:tcPr>
            <w:tcW w:type="dxa" w:w="76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Creado, autorizado, retenido, liberado, reembolsado, fallido</w:t>
            </w:r>
          </w:p>
        </w:tc>
      </w:tr>
    </w:tbl>
    <w:p>
      <w:pPr>
        <w:spacing w:after="20"/>
      </w:pPr>
    </w:p>
    <w:p>
      <w:pPr>
        <w:pStyle w:val="Heading1"/>
      </w:pPr>
      <w:r>
        <w:t>8. Recorrido de demostración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B3A"/>
          <w:sz w:val="20"/>
        </w:rPr>
        <w:t>Administrador revisa y aprueba una credencial ficticia.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B3A"/>
          <w:sz w:val="20"/>
        </w:rPr>
        <w:t>Cliente busca una categoría y compara perfiles.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B3A"/>
          <w:sz w:val="20"/>
        </w:rPr>
        <w:t>Cliente crea una solicitud y recibe dos cotizaciones ficticias.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B3A"/>
          <w:sz w:val="20"/>
        </w:rPr>
        <w:t>Cliente acepta una propuesta y observa el pago simulado.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B3A"/>
          <w:sz w:val="20"/>
        </w:rPr>
        <w:t>Profesional gestiona agenda, mensajes y estado del trabajo.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B3A"/>
          <w:sz w:val="20"/>
        </w:rPr>
        <w:t>Cliente confirma el cierre y publica una evaluación.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B3A"/>
          <w:sz w:val="20"/>
        </w:rPr>
        <w:t>Administrador consulta la trazabilidad y un caso de disputa.</w:t>
      </w:r>
    </w:p>
    <w:p>
      <w:pPr>
        <w:pStyle w:val="Heading1"/>
      </w:pPr>
      <w:r>
        <w:t>9. Criterios globales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Responsive, accesible y operable con teclado.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Permisos validados fuera de la interfaz.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Estados de carga, vacío, error, reintento y permiso insuficiente.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Datos ficticios coherentes y simulaciones identificables.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Sin secretos, documentos personales ni pagos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06D"/>
        <w:sz w:val="15"/>
      </w:rPr>
      <w:t>Especificación Funcional del MVP  •  2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2606D"/>
        <w:sz w:val="16"/>
      </w:rPr>
      <w:t>FIX &amp; GO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B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B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Funcional del MVP</dc:title>
  <dc:subject>Requisitos funcionales del MVP</dc:subject>
  <dc:creator>Equipo Fix &amp; Go</dc:creator>
  <cp:keywords>Fix &amp; Go, APT122, servicios técnicos, plataforma, MVP</cp:keywords>
  <dc:description>Documento basado en la definición oficial consolidada de Fix &amp; Go.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