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Aptos Display" w:hAnsi="Aptos Display"/>
          <w:b/>
          <w:i w:val="0"/>
          <w:color w:val="F6C445"/>
          <w:sz w:val="32"/>
        </w:rPr>
        <w:t>FIX &amp; GO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102A43"/>
          <w:sz w:val="60"/>
        </w:rPr>
        <w:t>Modelo de Dominio y Arquitectura</w:t>
      </w:r>
    </w:p>
    <w:p>
      <w:pPr>
        <w:spacing w:after="480"/>
        <w:jc w:val="center"/>
      </w:pPr>
      <w:r>
        <w:rPr>
          <w:rFonts w:ascii="Aptos" w:hAnsi="Aptos"/>
          <w:b w:val="0"/>
          <w:i w:val="0"/>
          <w:color w:val="172B3A"/>
          <w:sz w:val="28"/>
        </w:rPr>
        <w:t>Datos, invariantes, stack y controles de seguridad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PROPÓSITO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Fuente profesional para definir, validar y construir Fix &amp; Go sin confundir la visión comercial con el MVP académico.</w:t>
            </w:r>
          </w:p>
        </w:tc>
      </w:tr>
    </w:tbl>
    <w:p>
      <w:pPr>
        <w:spacing w:after="20"/>
      </w:pPr>
    </w:p>
    <w:p>
      <w:pPr>
        <w:spacing w:before="680"/>
        <w:jc w:val="center"/>
      </w:pPr>
      <w:r>
        <w:rPr>
          <w:rFonts w:ascii="Aptos" w:hAnsi="Aptos"/>
          <w:b/>
          <w:i w:val="0"/>
          <w:color w:val="52606D"/>
          <w:sz w:val="19"/>
        </w:rPr>
        <w:t>FGO-ARCH-001  •  Versión 2.0</w:t>
        <w:br/>
        <w:t>2 de septiembre de 2026</w:t>
        <w:br/>
        <w:t>APT122-005D  •  Equipo por definir</w:t>
        <w:br/>
        <w:t>Benjamín Olmedo · Daniel Baeza · Felipe Arce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8E6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rFonts w:ascii="Aptos" w:hAnsi="Aptos"/>
                <w:b/>
                <w:i w:val="0"/>
                <w:color w:val="102A43"/>
                <w:sz w:val="16"/>
              </w:rPr>
              <w:t>CONTROL DE FUENTE</w:t>
              <w:br/>
            </w:r>
            <w:r>
              <w:rPr>
                <w:rFonts w:ascii="Aptos" w:hAnsi="Aptos"/>
                <w:b w:val="0"/>
                <w:i w:val="0"/>
                <w:color w:val="172B3A"/>
                <w:sz w:val="20"/>
              </w:rPr>
              <w:t>Documento basado en el archivo FIX&amp;GO y la presentación Canva entregados por el equipo. Las cifras sin respaldo se mantienen como hipótesis por validar.</w:t>
            </w:r>
          </w:p>
        </w:tc>
      </w:tr>
    </w:tbl>
    <w:p>
      <w:pPr>
        <w:spacing w:after="20"/>
      </w:pPr>
    </w:p>
    <w:p>
      <w:pPr>
        <w:pStyle w:val="Heading1"/>
      </w:pPr>
      <w:r>
        <w:t>1. Núcleo de dominio</w:t>
      </w:r>
    </w:p>
    <w:p>
      <w:pPr>
        <w:widowControl/>
      </w:pPr>
      <w:r>
        <w:t>El servicio contratado es el centro operacional. Nace desde una cotización aceptada y relaciona agenda, participantes, mensajes, pagos, cierre, disputa y evaluación.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Entidad</w:t>
            </w:r>
          </w:p>
        </w:tc>
        <w:tc>
          <w:tcPr>
            <w:tcW w:type="dxa" w:w="7200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User / Profiles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Identidad digital y perfiles diferenciados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ServiceCategory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Categoría y requisitos de especialidad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Credential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Evidencia y decisión de verificación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ServiceRequest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Necesidad, zona y disponibilidad del cliente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Quote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Propuesta de alcance, precio y condiciones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ServiceJob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Ejecución y trazabilidad del trabajo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Message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Comunicación vinculada al servicio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Payment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Referencia, desglose y estado del proveedor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Review / Dispute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Reputación elegible y resolución de incidentes</w:t>
            </w:r>
          </w:p>
        </w:tc>
      </w:tr>
      <w:tr>
        <w:tc>
          <w:tcPr>
            <w:tcW w:type="dxa" w:w="2592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AuditEvent</w:t>
            </w:r>
          </w:p>
        </w:tc>
        <w:tc>
          <w:tcPr>
            <w:tcW w:type="dxa" w:w="7200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Actor, acción, objetivo y fecha</w:t>
            </w:r>
          </w:p>
        </w:tc>
      </w:tr>
    </w:tbl>
    <w:p>
      <w:pPr>
        <w:spacing w:after="20"/>
      </w:pPr>
    </w:p>
    <w:p>
      <w:pPr>
        <w:pStyle w:val="Heading1"/>
      </w:pPr>
      <w:r>
        <w:t>2. Invariantes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Una sola cotización aceptada por solicitud.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Verificación derivada de credencial aprobada y vigente.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Evaluación limitada a participantes de un servicio completado.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Pago desglosado e idempotente; la plataforma nunca almacena tarjeta completa.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Dirección exacta visible solo para participantes y etapa autorizados.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Acciones administrativas conservan responsable, motivo y fecha.</w:t>
      </w:r>
    </w:p>
    <w:p>
      <w:pPr>
        <w:pStyle w:val="Heading1"/>
      </w:pPr>
      <w:r>
        <w:t>3. Stack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Capa</w:t>
            </w:r>
          </w:p>
        </w:tc>
        <w:tc>
          <w:tcPr>
            <w:tcW w:type="dxa" w:w="3168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Tecnología</w:t>
            </w:r>
          </w:p>
        </w:tc>
        <w:tc>
          <w:tcPr>
            <w:tcW w:type="dxa" w:w="4896"/>
            <w:shd w:fill="102A4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Razón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Móvil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React Native + Expo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iOS/Android con TypeScript compartido</w:t>
            </w:r>
          </w:p>
        </w:tc>
      </w:tr>
      <w:tr>
        <w:tc>
          <w:tcPr>
            <w:tcW w:type="dxa" w:w="172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Web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Next.js</w:t>
            </w:r>
          </w:p>
        </w:tc>
        <w:tc>
          <w:tcPr>
            <w:tcW w:type="dxa" w:w="4896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paneles, accesibilidad y ecosistema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API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NestJS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módulos, validación y pruebas</w:t>
            </w:r>
          </w:p>
        </w:tc>
      </w:tr>
      <w:tr>
        <w:tc>
          <w:tcPr>
            <w:tcW w:type="dxa" w:w="172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Datos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PostgreSQL + PostGIS</w:t>
            </w:r>
          </w:p>
        </w:tc>
        <w:tc>
          <w:tcPr>
            <w:tcW w:type="dxa" w:w="4896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transacciones, relaciones y geodatos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Colas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Redis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límites, trabajos y coordinación</w:t>
            </w:r>
          </w:p>
        </w:tc>
      </w:tr>
      <w:tr>
        <w:tc>
          <w:tcPr>
            <w:tcW w:type="dxa" w:w="172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Archivos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S3 compatible</w:t>
            </w:r>
          </w:p>
        </w:tc>
        <w:tc>
          <w:tcPr>
            <w:tcW w:type="dxa" w:w="4896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privacidad, URLs firmadas y ciclo de vida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Identidad</w:t>
            </w:r>
          </w:p>
        </w:tc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OIDC gestionado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MFA y recuperación robusta</w:t>
            </w:r>
          </w:p>
        </w:tc>
      </w:tr>
      <w:tr>
        <w:tc>
          <w:tcPr>
            <w:tcW w:type="dxa" w:w="172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Observabilidad</w:t>
            </w:r>
          </w:p>
        </w:tc>
        <w:tc>
          <w:tcPr>
            <w:tcW w:type="dxa" w:w="3168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OpenTelemetry</w:t>
            </w:r>
          </w:p>
        </w:tc>
        <w:tc>
          <w:tcPr>
            <w:tcW w:type="dxa" w:w="4896"/>
            <w:shd w:fill="F2F5F7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72B3A"/>
                <w:sz w:val="17"/>
              </w:rPr>
              <w:t>métricas y trazas portables</w:t>
            </w:r>
          </w:p>
        </w:tc>
      </w:tr>
    </w:tbl>
    <w:p>
      <w:pPr>
        <w:spacing w:after="20"/>
      </w:pPr>
    </w:p>
    <w:p>
      <w:pPr>
        <w:pStyle w:val="Heading1"/>
      </w:pPr>
      <w:r>
        <w:t>4. Estrategia estructural</w:t>
      </w:r>
    </w:p>
    <w:p>
      <w:pPr>
        <w:widowControl/>
      </w:pPr>
      <w:r>
        <w:t>Un monolito modular reduce la carga de un equipo de tres personas. Identidad, verificación, solicitudes, cotizaciones, servicios, pagos, mensajes, reputación y administración mantienen límites internos y adaptadores externos.</w:t>
      </w:r>
    </w:p>
    <w:p>
      <w:pPr>
        <w:pStyle w:val="Heading1"/>
      </w:pPr>
      <w:r>
        <w:t>5. Seguridad y privacidad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Autorización por rol y pertenencia al recurso en cada operación.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MFA para administración; cifrado y secretos fuera del código.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Archivos privados, URLs breves, validación y análisis antimalware.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Webhooks firmados, idempotencia y conciliación de pagos.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Rate limiting, protección contra enumeración y auditoría.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Minimización, retención, borrado y respaldos probados.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Geolocalización aproximada para búsqueda y exacta solo al contratar.</w:t>
      </w:r>
    </w:p>
    <w:p>
      <w:pPr>
        <w:pStyle w:val="Heading1"/>
      </w:pPr>
      <w:r>
        <w:t>6. MVP académico</w:t>
      </w:r>
    </w:p>
    <w:p>
      <w:pPr>
        <w:widowControl/>
      </w:pPr>
      <w:r>
        <w:t>Puede usar una API local o de desarrollo, datos ficticios y adaptadores simulados. Los contratos deben permitir reemplazar pagos, mensajería, identidad y almacenamiento sin reescribir reglas del dominio.</w:t>
      </w:r>
    </w:p>
    <w:p>
      <w:pPr>
        <w:pStyle w:val="Heading1"/>
      </w:pPr>
      <w:r>
        <w:t>7. Decisiones pendientes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Proveedor de identidad y pagos con soporte en Chile.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Nube, región, costos y objetivos de disponibilidad.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Retención legal de credenciales y datos financieros.</w:t>
      </w:r>
    </w:p>
    <w:p>
      <w:pPr>
        <w:pStyle w:val="ListBullet"/>
        <w:spacing w:after="40"/>
        <w:ind w:left="461" w:hanging="230"/>
      </w:pPr>
      <w:r>
        <w:rPr>
          <w:rFonts w:ascii="Aptos" w:hAnsi="Aptos"/>
          <w:b w:val="0"/>
          <w:i w:val="0"/>
          <w:color w:val="172B3A"/>
          <w:sz w:val="20"/>
        </w:rPr>
        <w:t>Mensajería en tiempo real o asincrónica según validación.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2606D"/>
        <w:sz w:val="15"/>
      </w:rPr>
      <w:t>Modelo de Dominio y Arquitectura  •  2 de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52606D"/>
        <w:sz w:val="16"/>
      </w:rPr>
      <w:t>FIX &amp; GO  /  DOCUMENTACIÓN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72B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2B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Dominio y Arquitectura</dc:title>
  <dc:subject>Modelo y arquitectura técnica</dc:subject>
  <dc:creator>Equipo Fix &amp; Go</dc:creator>
  <cp:keywords>Fix &amp; Go, APT122, servicios técnicos, plataforma, MVP</cp:keywords>
  <dc:description>Documento basado en la definición oficial consolidada de Fix &amp; Go.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