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Aptos Display" w:hAnsi="Aptos Display"/>
          <w:b/>
          <w:i w:val="0"/>
          <w:color w:val="F6C445"/>
          <w:sz w:val="32"/>
        </w:rPr>
        <w:t>FIX &amp; GO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102A43"/>
          <w:sz w:val="60"/>
        </w:rPr>
        <w:t>Roadmap y Plan de Validación</w:t>
      </w:r>
    </w:p>
    <w:p>
      <w:pPr>
        <w:spacing w:after="480"/>
        <w:jc w:val="center"/>
      </w:pPr>
      <w:r>
        <w:rPr>
          <w:rFonts w:ascii="Aptos" w:hAnsi="Aptos"/>
          <w:b w:val="0"/>
          <w:i w:val="0"/>
          <w:color w:val="172B3A"/>
          <w:sz w:val="28"/>
        </w:rPr>
        <w:t>Alcance, tiempo, costos, interesados, financiamiento y validación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PROPÓSITO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Fuente profesional para definir, validar y construir Fix &amp; Go sin confundir la visión comercial con el MVP académico.</w:t>
            </w:r>
          </w:p>
        </w:tc>
      </w:tr>
    </w:tbl>
    <w:p>
      <w:pPr>
        <w:spacing w:after="20"/>
      </w:pPr>
    </w:p>
    <w:p>
      <w:pPr>
        <w:spacing w:before="680"/>
        <w:jc w:val="center"/>
      </w:pPr>
      <w:r>
        <w:rPr>
          <w:rFonts w:ascii="Aptos" w:hAnsi="Aptos"/>
          <w:b/>
          <w:i w:val="0"/>
          <w:color w:val="52606D"/>
          <w:sz w:val="19"/>
        </w:rPr>
        <w:t>FGO-PLAN-001  •  Versión 2.0</w:t>
        <w:br/>
        <w:t>2 de septiembre de 2026</w:t>
        <w:br/>
        <w:t>APT122-005D  •  Equipo por definir</w:t>
        <w:br/>
        <w:t>Benjamín Olmedo · Daniel Baeza · Felipe Arce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CONTROL DE FUENTE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Documento basado en el archivo FIX&amp;GO y la presentación Canva entregados por el equipo. Las cifras sin respaldo se mantienen como hipótesis por validar.</w:t>
            </w:r>
          </w:p>
        </w:tc>
      </w:tr>
    </w:tbl>
    <w:p>
      <w:pPr>
        <w:spacing w:after="20"/>
      </w:pPr>
    </w:p>
    <w:p>
      <w:pPr>
        <w:pStyle w:val="Heading1"/>
      </w:pPr>
      <w:r>
        <w:t>1. Estrategia</w:t>
      </w:r>
    </w:p>
    <w:p>
      <w:pPr>
        <w:widowControl/>
      </w:pPr>
      <w:r>
        <w:t>El orden reduce incertidumbre: problema y confianza antes que tecnología costosa; recorrido antes que integración; piloto controlado antes que expansión.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84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5040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Trabajo</w:t>
            </w:r>
          </w:p>
        </w:tc>
        <w:tc>
          <w:tcPr>
            <w:tcW w:type="dxa" w:w="3168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0. Evidencia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Entrevistas, categorías, verificación, comisión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Hipótesis medibles y alcance</w:t>
            </w:r>
          </w:p>
        </w:tc>
      </w:tr>
      <w:tr>
        <w:tc>
          <w:tcPr>
            <w:tcW w:type="dxa" w:w="158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1. Prototipo</w:t>
            </w:r>
          </w:p>
        </w:tc>
        <w:tc>
          <w:tcPr>
            <w:tcW w:type="dxa" w:w="504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Flujos de cliente, profesional y administrador</w:t>
            </w:r>
          </w:p>
        </w:tc>
        <w:tc>
          <w:tcPr>
            <w:tcW w:type="dxa" w:w="316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Usabilidad y lenguaje corregidos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2. MVP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Recorrido completo con simulaciones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Demo reproducible y probada</w:t>
            </w:r>
          </w:p>
        </w:tc>
      </w:tr>
      <w:tr>
        <w:tc>
          <w:tcPr>
            <w:tcW w:type="dxa" w:w="158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3. Piloto</w:t>
            </w:r>
          </w:p>
        </w:tc>
        <w:tc>
          <w:tcPr>
            <w:tcW w:type="dxa" w:w="504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Integraciones, seguridad, soporte y cumplimiento</w:t>
            </w:r>
          </w:p>
        </w:tc>
        <w:tc>
          <w:tcPr>
            <w:tcW w:type="dxa" w:w="316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Operación cerrada y monitoreada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4. Aprendizaje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Métricas, costos, disputas y satisfacción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Decisión de iterar o escalar</w:t>
            </w:r>
          </w:p>
        </w:tc>
      </w:tr>
      <w:tr>
        <w:tc>
          <w:tcPr>
            <w:tcW w:type="dxa" w:w="158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5. Escala</w:t>
            </w:r>
          </w:p>
        </w:tc>
        <w:tc>
          <w:tcPr>
            <w:tcW w:type="dxa" w:w="504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Geografía, oferta y nuevas categorías</w:t>
            </w:r>
          </w:p>
        </w:tc>
        <w:tc>
          <w:tcPr>
            <w:tcW w:type="dxa" w:w="316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Crecimiento con controles</w:t>
            </w:r>
          </w:p>
        </w:tc>
      </w:tr>
    </w:tbl>
    <w:p>
      <w:pPr>
        <w:spacing w:after="20"/>
      </w:pPr>
    </w:p>
    <w:p>
      <w:pPr>
        <w:pStyle w:val="Heading1"/>
      </w:pPr>
      <w:r>
        <w:t>2. Alcance controlado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Incluye cliente, profesional y administrador; gas, electricidad y agua; búsqueda, perfiles, solicitud, cotización, seguimiento, mensajería, pago/verificación simulados y evaluación.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Excluye operación pública, dinero o documentos reales, GPS productivo, tiendas de aplicaciones, nuevas categorías, automatización avanzada y microservicios.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Todo cambio debe declarar beneficio, horas, costo, riesgo y trabajo equivalente que se retirará.</w:t>
      </w:r>
    </w:p>
    <w:p>
      <w:pPr>
        <w:pStyle w:val="Heading1"/>
      </w:pPr>
      <w:r>
        <w:t>3. Cronograma y capacidad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84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Semanas</w:t>
            </w:r>
          </w:p>
        </w:tc>
        <w:tc>
          <w:tcPr>
            <w:tcW w:type="dxa" w:w="5184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3024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1–2</w:t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Definición, interesados y entrevistas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Alcance y riesgos</w:t>
            </w:r>
          </w:p>
        </w:tc>
      </w:tr>
      <w:tr>
        <w:tc>
          <w:tcPr>
            <w:tcW w:type="dxa" w:w="158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3–4</w:t>
            </w:r>
          </w:p>
        </w:tc>
        <w:tc>
          <w:tcPr>
            <w:tcW w:type="dxa" w:w="518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Requisitos, flujos y prototipo</w:t>
            </w:r>
          </w:p>
        </w:tc>
        <w:tc>
          <w:tcPr>
            <w:tcW w:type="dxa" w:w="302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Backlog y prueba UX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5–6</w:t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Arquitectura, datos y entorno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ADR y base integrada</w:t>
            </w:r>
          </w:p>
        </w:tc>
      </w:tr>
      <w:tr>
        <w:tc>
          <w:tcPr>
            <w:tcW w:type="dxa" w:w="158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7–10</w:t>
            </w:r>
          </w:p>
        </w:tc>
        <w:tc>
          <w:tcPr>
            <w:tcW w:type="dxa" w:w="518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Perfiles, búsqueda, solicitud y cotización</w:t>
            </w:r>
          </w:p>
        </w:tc>
        <w:tc>
          <w:tcPr>
            <w:tcW w:type="dxa" w:w="302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Primer flujo vertical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11–13</w:t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Servicio e integraciones simuladas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MVP end-to-end</w:t>
            </w:r>
          </w:p>
        </w:tc>
      </w:tr>
      <w:tr>
        <w:tc>
          <w:tcPr>
            <w:tcW w:type="dxa" w:w="158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14–15</w:t>
            </w:r>
          </w:p>
        </w:tc>
        <w:tc>
          <w:tcPr>
            <w:tcW w:type="dxa" w:w="518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Calidad, accesibilidad y seguridad</w:t>
            </w:r>
          </w:p>
        </w:tc>
        <w:tc>
          <w:tcPr>
            <w:tcW w:type="dxa" w:w="302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Reportes y correcciones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16–18</w:t>
            </w:r>
          </w:p>
        </w:tc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Validación, estabilización y cierre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Evidencia y presentación</w:t>
            </w:r>
          </w:p>
        </w:tc>
      </w:tr>
    </w:tbl>
    <w:p>
      <w:pPr>
        <w:spacing w:after="20"/>
      </w:pPr>
    </w:p>
    <w:p>
      <w:pPr>
        <w:pStyle w:val="Heading1"/>
      </w:pPr>
      <w:r>
        <w:t>4. Presupuesto y financiamiento</w:t>
      </w:r>
    </w:p>
    <w:p>
      <w:pPr>
        <w:widowControl/>
      </w:pPr>
      <w:r>
        <w:t>La línea base supone 18 semanas, tres estudiantes y 8 horas semanales por persona: 432 horas-persona brutas. Se reserva 15 %, dejando aproximadamente 367 horas planificables. El equipo debe recalibrar este supuesto con registros reales.</w:t>
      </w:r>
    </w:p>
    <w:p>
      <w:pPr>
        <w:widowControl/>
      </w:pPr>
      <w:r>
        <w:t>El MVP se financia con tiempo, computadores, conectividad y herramientas gratuitas o educativas. El desembolso base es $0 y el techo propuesto es $150.000 CLP: hasta $30.000 en nube, $25.000 en publicación opcional, $60.000 en pruebas y $35.000 de contingencia. Todo gasto superior a $20.000 requiere acuerdo de los tres.</w:t>
      </w:r>
    </w:p>
    <w:p>
      <w:pPr>
        <w:widowControl/>
      </w:pPr>
      <w:r>
        <w:t>Los $6.500.000 del material original corresponden a un escenario comercial por validar, no al costo del Capstone. Un piloto posterior podrá evaluar aporte de fundadores, alianzas, fondos de emprendimiento o inversión temprana con un presupuesto independiente.</w:t>
      </w:r>
    </w:p>
    <w:p>
      <w:pPr>
        <w:pStyle w:val="Heading1"/>
      </w:pPr>
      <w:r>
        <w:t>5. Gestión de interesados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04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Interesado</w:t>
            </w:r>
          </w:p>
        </w:tc>
        <w:tc>
          <w:tcPr>
            <w:tcW w:type="dxa" w:w="3024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Estrategia</w:t>
            </w:r>
          </w:p>
        </w:tc>
        <w:tc>
          <w:tcPr>
            <w:tcW w:type="dxa" w:w="4464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Equipo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Gestionar de cerca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Tareas, riesgos y decisiones semanales</w:t>
            </w:r>
          </w:p>
        </w:tc>
      </w:tr>
      <w:tr>
        <w:tc>
          <w:tcPr>
            <w:tcW w:type="dxa" w:w="230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Docente/evaluadores</w:t>
            </w:r>
          </w:p>
        </w:tc>
        <w:tc>
          <w:tcPr>
            <w:tcW w:type="dxa" w:w="302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Gestionar de cerca</w:t>
            </w:r>
          </w:p>
        </w:tc>
        <w:tc>
          <w:tcPr>
            <w:tcW w:type="dxa" w:w="446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Evidencia y cumplimiento por hito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Clientes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Involucrar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Prototipo, privacidad y hallazgos</w:t>
            </w:r>
          </w:p>
        </w:tc>
      </w:tr>
      <w:tr>
        <w:tc>
          <w:tcPr>
            <w:tcW w:type="dxa" w:w="230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Profesionales</w:t>
            </w:r>
          </w:p>
        </w:tc>
        <w:tc>
          <w:tcPr>
            <w:tcW w:type="dxa" w:w="302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Involucrar</w:t>
            </w:r>
          </w:p>
        </w:tc>
        <w:tc>
          <w:tcPr>
            <w:tcW w:type="dxa" w:w="446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Verificación, comisión y flujo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Soporte futuro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Consultar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Carga operativa e incidentes</w:t>
            </w:r>
          </w:p>
        </w:tc>
      </w:tr>
      <w:tr>
        <w:tc>
          <w:tcPr>
            <w:tcW w:type="dxa" w:w="230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Proveedores/reguladores</w:t>
            </w:r>
          </w:p>
        </w:tc>
        <w:tc>
          <w:tcPr>
            <w:tcW w:type="dxa" w:w="302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Mantener satisfechos</w:t>
            </w:r>
          </w:p>
        </w:tc>
        <w:tc>
          <w:tcPr>
            <w:tcW w:type="dxa" w:w="446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Requisitos, límites y cumplimiento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Inversionistas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Informar con evidencia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Métricas, costos y riesgos</w:t>
            </w:r>
          </w:p>
        </w:tc>
      </w:tr>
      <w:tr>
        <w:tc>
          <w:tcPr>
            <w:tcW w:type="dxa" w:w="230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Competidores</w:t>
            </w:r>
          </w:p>
        </w:tc>
        <w:tc>
          <w:tcPr>
            <w:tcW w:type="dxa" w:w="302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Monitorear</w:t>
            </w:r>
          </w:p>
        </w:tc>
        <w:tc>
          <w:tcPr>
            <w:tcW w:type="dxa" w:w="446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Propuesta y cambios de mercado</w:t>
            </w:r>
          </w:p>
        </w:tc>
      </w:tr>
    </w:tbl>
    <w:p>
      <w:pPr>
        <w:spacing w:after="20"/>
      </w:pPr>
    </w:p>
    <w:p>
      <w:pPr>
        <w:pStyle w:val="Heading1"/>
      </w:pPr>
      <w:r>
        <w:t>6. Gobierno y comunicación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Planificación semanal y seguimiento breve dos veces por semana.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Revisión demostrable quincenal y revisión de riesgos/costos.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Benjamín lidera frontend y prototipado; backend/datos y calidad/documentación se asignan entre Daniel y Felipe en la semana 2.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Cada entregable tiene responsable y revisor distinto.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Alcance, dinero, publicación y uso de datos reales requieren acuerdo de los tres.</w:t>
      </w:r>
    </w:p>
    <w:p>
      <w:pPr>
        <w:pStyle w:val="Heading1"/>
      </w:pPr>
      <w:r>
        <w:t>7. Validaciones prioritarias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Entrevistas separadas con clientes y profesionales.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Prueba de confianza antes/después de mostrar credenciales y reseñas.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Test de comparación de cotizaciones y comprensión del precio.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Disposición profesional a una comisión del 20 %.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Proceso manual de revisión de credenciales por categoría.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Modelo financiero con costos variables y crecimiento mensual.</w:t>
      </w:r>
    </w:p>
    <w:p>
      <w:pPr>
        <w:pStyle w:val="Heading1"/>
      </w:pPr>
      <w:r>
        <w:t>8. Métricas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Finalización del recorrido sin ayuda y tiempo por etapa.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Conversión solicitud → cotización → aceptación → cierre.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Tiempo de respuesta profesional y cumplimiento de agenda.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Cancelación, disputa, reembolso y repetición.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Costo de adquisición, soporte y verificación.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Ingreso neto por servicio y margen de contribución.</w:t>
      </w:r>
    </w:p>
    <w:p>
      <w:pPr>
        <w:pStyle w:val="Heading1"/>
      </w:pPr>
      <w:r>
        <w:t>9. Calidad del MVP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Tres recorridos de categoría inicial y tres roles demostrables.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Permisos, transiciones, comisión y reputación cubiertos por pruebas.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Accesibilidad, responsive y estados de error verificados.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Simulaciones visibles; cero datos personales y secretos.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Documentación y trazabilidad actualizadas.</w:t>
      </w:r>
    </w:p>
    <w:p>
      <w:pPr>
        <w:pStyle w:val="Heading1"/>
      </w:pPr>
      <w:r>
        <w:t>10. Riesgos y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Riesgo</w:t>
            </w:r>
          </w:p>
        </w:tc>
        <w:tc>
          <w:tcPr>
            <w:tcW w:type="dxa" w:w="6912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Respuesta inicial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Baja adopción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Entrevistas, prototipo y piloto geográfico acotado</w:t>
            </w:r>
          </w:p>
        </w:tc>
      </w:tr>
      <w:tr>
        <w:tc>
          <w:tcPr>
            <w:tcW w:type="dxa" w:w="288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Poca oferta</w:t>
            </w:r>
          </w:p>
        </w:tc>
        <w:tc>
          <w:tcPr>
            <w:tcW w:type="dxa" w:w="691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Incorporación manual y categorías limitadas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Fraude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Verificación, permisos, auditoría y límites</w:t>
            </w:r>
          </w:p>
        </w:tc>
      </w:tr>
      <w:tr>
        <w:tc>
          <w:tcPr>
            <w:tcW w:type="dxa" w:w="288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Disputas</w:t>
            </w:r>
          </w:p>
        </w:tc>
        <w:tc>
          <w:tcPr>
            <w:tcW w:type="dxa" w:w="691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Estados claros, evidencia y soporte definido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Costo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Monolito modular, servicios gestionados y presupuesto por etapa</w:t>
            </w:r>
          </w:p>
        </w:tc>
      </w:tr>
      <w:tr>
        <w:tc>
          <w:tcPr>
            <w:tcW w:type="dxa" w:w="288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Alcance</w:t>
            </w:r>
          </w:p>
        </w:tc>
        <w:tc>
          <w:tcPr>
            <w:tcW w:type="dxa" w:w="691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No ampliar categorías antes de validar el núcleo</w:t>
            </w:r>
          </w:p>
        </w:tc>
      </w:tr>
    </w:tbl>
    <w:p>
      <w:pPr>
        <w:spacing w:after="20"/>
      </w:pPr>
    </w:p>
    <w:p>
      <w:pPr>
        <w:pStyle w:val="Heading1"/>
      </w:pPr>
      <w:r>
        <w:t>11. Hito académico</w:t>
      </w:r>
    </w:p>
    <w:p>
      <w:pPr>
        <w:widowControl/>
      </w:pPr>
      <w:r>
        <w:t>La referencia propone un MVP hacia la semana 18. El equipo debe reconciliar ese objetivo con el calendario oficial de APT122 y trabajar en incrementos quincenales demostrables.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REGLA DE CIERRE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La fase no termina por cantidad de pantallas: termina cuando la evidencia demuestra que el recorrido es comprensible, seguro en su simulación y coherente con el problema.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2606D"/>
        <w:sz w:val="15"/>
      </w:rPr>
      <w:t>Roadmap y Plan de Validación  •  2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52606D"/>
        <w:sz w:val="16"/>
      </w:rPr>
      <w:t>FIX &amp; GO  /  DOCUMENTACIÓN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B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B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y Plan de Validación</dc:title>
  <dc:subject>Roadmap y validación</dc:subject>
  <dc:creator>Equipo Fix &amp; Go</dc:creator>
  <cp:keywords>Fix &amp; Go, APT122, servicios técnicos, plataforma, MVP</cp:keywords>
  <dc:description>Documento basado en la definición oficial consolidada de Fix &amp; Go.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