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00"/>
        <w:jc w:val="center"/>
      </w:pPr>
      <w:r>
        <w:rPr>
          <w:rFonts w:ascii="Aptos" w:hAnsi="Aptos"/>
          <w:b/>
          <w:i w:val="0"/>
          <w:color w:val="7651C9"/>
          <w:sz w:val="20"/>
        </w:rPr>
        <w:t>RUAHTONE</w:t>
      </w:r>
    </w:p>
    <w:p>
      <w:pPr>
        <w:spacing w:after="160"/>
        <w:jc w:val="center"/>
      </w:pPr>
      <w:r>
        <w:rPr>
          <w:rFonts w:ascii="Aptos Display" w:hAnsi="Aptos Display"/>
          <w:b/>
          <w:i w:val="0"/>
          <w:color w:val="3157D5"/>
          <w:sz w:val="60"/>
        </w:rPr>
        <w:t>Especificación Funcional del MVP</w:t>
      </w:r>
    </w:p>
    <w:p>
      <w:pPr>
        <w:spacing w:after="560"/>
        <w:jc w:val="center"/>
      </w:pPr>
      <w:r>
        <w:rPr>
          <w:rFonts w:ascii="Aptos" w:hAnsi="Aptos"/>
          <w:b w:val="0"/>
          <w:i w:val="0"/>
          <w:color w:val="172033"/>
          <w:sz w:val="30"/>
        </w:rPr>
        <w:t>Requisitos, reglas de negocio, estados y flujos obligatorios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C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3157D5"/>
                <w:sz w:val="17"/>
              </w:rPr>
              <w:t>PROPÓSITO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21"/>
              </w:rPr>
              <w:t>Fuente profesional para diseñar, construir y validar el MVP frontend local de RUAHTONE.</w:t>
            </w:r>
          </w:p>
        </w:tc>
      </w:tr>
    </w:tbl>
    <w:p>
      <w:pPr>
        <w:spacing w:after="40"/>
      </w:pPr>
    </w:p>
    <w:p>
      <w:pPr>
        <w:spacing w:before="800"/>
        <w:jc w:val="center"/>
      </w:pPr>
      <w:r>
        <w:rPr>
          <w:rFonts w:ascii="Aptos" w:hAnsi="Aptos"/>
          <w:b/>
          <w:i w:val="0"/>
          <w:color w:val="667085"/>
          <w:sz w:val="20"/>
        </w:rPr>
        <w:t>RHT-FUNC-001  •  Versión 1.0</w:t>
      </w:r>
      <w:r>
        <w:rPr>
          <w:rFonts w:ascii="Aptos" w:hAnsi="Aptos"/>
          <w:b w:val="0"/>
          <w:i w:val="0"/>
          <w:color w:val="667085"/>
          <w:sz w:val="20"/>
        </w:rPr>
        <w:br/>
        <w:t>12 de agosto de 2026</w:t>
      </w:r>
      <w:r>
        <w:rPr>
          <w:rFonts w:ascii="Aptos" w:hAnsi="Aptos"/>
          <w:b w:val="0"/>
          <w:i w:val="0"/>
          <w:color w:val="667085"/>
          <w:sz w:val="20"/>
        </w:rPr>
        <w:br/>
        <w:t>Estado: Documento oficial del MVP</w:t>
      </w:r>
    </w:p>
    <w:p>
      <w:r>
        <w:br w:type="page"/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C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3157D5"/>
                <w:sz w:val="17"/>
              </w:rPr>
              <w:t>CONTROL DE FUENTE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21"/>
              </w:rPr>
              <w:t>Este documento reorganiza exclusivamente la Instrucción Principal RUAHTONE — Master Product &amp; Development Prompt. No agrega funcionalidades al alcance oficial.</w:t>
            </w:r>
          </w:p>
        </w:tc>
      </w:tr>
    </w:tbl>
    <w:p>
      <w:pPr>
        <w:spacing w:after="40"/>
      </w:pPr>
    </w:p>
    <w:p>
      <w:pPr>
        <w:pStyle w:val="Heading1"/>
      </w:pPr>
      <w:r>
        <w:t>1. Regla de oro</w:t>
      </w:r>
    </w:p>
    <w:p>
      <w:pPr>
        <w:widowControl/>
      </w:pPr>
      <w:r>
        <w:t>Antes de implementar una función debe responderse qué problema operativo real de una iglesia resuelve. Si la respuesta no es clara, la función no debe inventarse.</w:t>
      </w:r>
    </w:p>
    <w:p>
      <w:pPr>
        <w:pStyle w:val="Heading1"/>
      </w:pPr>
      <w:r>
        <w:t>2. Servicios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Crear, editar, duplicar, eliminar, publicar y archivar.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Registrar nombre, tipo, fecha, hora de inicio, hora de término, lugar y descripción.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Concentrar ministerios, personas, canciones, recursos, checklist y actividad.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Estados: Planificación, Organizando, Confirmando, Listo, Completado y Archivado.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Tipos: Culto, Ensayo, Conferencia, Jóvenes, Reunión y Evento especial.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Un ensayo puede relacionarse con el servicio o ministerio que prepara.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Duplicar conserva estructura seleccionada y reinicia confirmaciones.</w:t>
      </w:r>
    </w:p>
    <w:p>
      <w:pPr>
        <w:pStyle w:val="Heading1"/>
      </w:pPr>
      <w:r>
        <w:t>3. Personas, roles y ministerios</w:t>
      </w:r>
    </w:p>
    <w:p>
      <w:pPr>
        <w:widowControl/>
      </w:pPr>
      <w:r>
        <w:t>Una persona posee una identidad única y puede servir en varios ministerios. Rol y ministerio nunca son equivalentes.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560"/>
        <w:gridCol w:w="3200"/>
      </w:tblGrid>
      <w:tr>
        <w:trPr>
          <w:tblHeader w:val="true"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157D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Concepto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157D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Definición oficial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157D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Ejemplo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Persona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Identidad única dentro de la iglesia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Benjamín</w:t>
            </w:r>
          </w:p>
        </w:tc>
      </w:tr>
      <w:tr>
        <w:tc>
          <w:tcPr>
            <w:tcW w:type="dxa" w:w="16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Rol</w:t>
            </w:r>
          </w:p>
        </w:tc>
        <w:tc>
          <w:tcPr>
            <w:tcW w:type="dxa" w:w="456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Responsabilidad general</w:t>
            </w:r>
          </w:p>
        </w:tc>
        <w:tc>
          <w:tcPr>
            <w:tcW w:type="dxa" w:w="32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Servidor / Líder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Ministerio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Área donde la persona sirve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Adoración, Sonido</w:t>
            </w:r>
          </w:p>
        </w:tc>
      </w:tr>
      <w:tr>
        <w:tc>
          <w:tcPr>
            <w:tcW w:type="dxa" w:w="16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Asignación</w:t>
            </w:r>
          </w:p>
        </w:tc>
        <w:tc>
          <w:tcPr>
            <w:tcW w:type="dxa" w:w="456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Participación contextual en un servicio</w:t>
            </w:r>
          </w:p>
        </w:tc>
        <w:tc>
          <w:tcPr>
            <w:tcW w:type="dxa" w:w="32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Primera guitarra</w:t>
            </w:r>
          </w:p>
        </w:tc>
      </w:tr>
    </w:tbl>
    <w:p>
      <w:pPr>
        <w:spacing w:after="40"/>
      </w:pPr>
    </w:p>
    <w:p>
      <w:pPr>
        <w:pStyle w:val="Heading1"/>
      </w:pPr>
      <w:r>
        <w:t>4. Asignaciones y asistencia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La asignación relaciona servicio, persona, ministerio y función específica.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Funciones posibles incluyen instrumentos, voces, sala, monitores, multimedia y ujieres.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El servidor confirma su propia asistencia; líder y administrador observan el estado.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Estados: Pendiente, Confirmado, No asistiré y Llegaré tarde.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Ausencia y atraso producen alertas visibles.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Una doble función incompatible en el mismo horario produce advertencia, sin bloqueo obligatorio en el MVP.</w:t>
      </w:r>
    </w:p>
    <w:p>
      <w:pPr>
        <w:pStyle w:val="Heading1"/>
      </w:pPr>
      <w:r>
        <w:t>5. Canciones y tonalidad contextual</w:t>
      </w:r>
    </w:p>
    <w:p>
      <w:pPr>
        <w:widowControl/>
      </w:pPr>
      <w:r>
        <w:t>La canción conserva su tonalidad original. Cada uso dentro de un servicio posee configuración propia; cambiarla no modifica la biblioteca.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157D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Entidad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157D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Datos relevantes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Song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Nombre, autor, tonalidad original, BPM, duración, compás, etiquetas, recursos e historial de uso</w:t>
            </w:r>
          </w:p>
        </w:tc>
      </w:tr>
      <w:tr>
        <w:tc>
          <w:tcPr>
            <w:tcW w:type="dxa" w:w="22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ServiceSong</w:t>
            </w:r>
          </w:p>
        </w:tc>
        <w:tc>
          <w:tcPr>
            <w:tcW w:type="dxa" w:w="716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Servicio, canción, orden, tonalidad del servicio, BPM opcional, versión, notas y estado</w:t>
            </w:r>
          </w:p>
        </w:tc>
      </w:tr>
    </w:tbl>
    <w:p>
      <w:pPr>
        <w:spacing w:after="40"/>
      </w:pP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El líder puede reordenar mediante drag and drop y botones arriba/abajo como alternativa.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El detalle de canción muestra información general, recursos, historial y servicios donde fue utilizada.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Los contadores y valores visibles deben derivarse de datos reales y consistentes.</w:t>
      </w:r>
    </w:p>
    <w:p>
      <w:pPr>
        <w:pStyle w:val="Heading1"/>
      </w:pPr>
      <w:r>
        <w:t>6. Recursos</w:t>
      </w:r>
    </w:p>
    <w:p>
      <w:pPr>
        <w:widowControl/>
      </w:pPr>
      <w:r>
        <w:t>Los recursos no son una carpeta aislada: deben asociarse a una canción, servicio o ministerio.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Tipos: PDF, Partitura, Chord Chart, Secuencia, Multitrack, Audio, Video, Imagen, Documento y Otro.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Cada recurso debe ofrecer una acción visual coherente.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Los archivos simulados deben presentarse explícitamente como parte del MVP local.</w:t>
      </w:r>
    </w:p>
    <w:p>
      <w:pPr>
        <w:pStyle w:val="Heading1"/>
      </w:pPr>
      <w:r>
        <w:t>7. Checklists, actividad y notificaciones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Los checklists son contextuales; un servicio normal y uno especial pueden requerir estructuras distintas.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Cada ministerio puede tener su checklist y cada servidor tareas personales.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Completar tareas actualiza el estado visible.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Cambios relevantes generan actividad estructurada con actor y momento.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La actividad no incluye likes, reacciones, grupos ni conversaciones.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Las notificaciones deben ser relevantes y no generar spam.</w:t>
      </w:r>
    </w:p>
    <w:p>
      <w:pPr>
        <w:pStyle w:val="Heading1"/>
      </w:pPr>
      <w:r>
        <w:t>8. Centro del Servicio</w:t>
      </w:r>
    </w:p>
    <w:p>
      <w:pPr>
        <w:widowControl/>
      </w:pPr>
      <w:r>
        <w:t>Es la pantalla más importante del MVP y el destino común desde Inicio, Calendario, Servicios, notificaciones y búsqueda.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Fecha, horario, lugar y estado.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Ministerios y contadores de confirmación.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Personas, funciones y asistencia.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Canciones y tonalidades del servicio.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Recursos, checklist, actividad y observaciones.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Acción principal: Gestionar servicio.</w:t>
      </w:r>
    </w:p>
    <w:p>
      <w:pPr>
        <w:pStyle w:val="Heading1"/>
      </w:pPr>
      <w:r>
        <w:t>9. Experiencias por contexto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4400"/>
        <w:gridCol w:w="3560"/>
      </w:tblGrid>
      <w:tr>
        <w:trPr>
          <w:tblHeader w:val="true"/>
        </w:trP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157D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Contexto</w:t>
            </w:r>
          </w:p>
        </w:tc>
        <w:tc>
          <w:tcPr>
            <w:tcW w:type="dxa" w:w="4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157D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Prioridad de inicio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157D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Capacidad principal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Músico</w:t>
            </w:r>
          </w:p>
        </w:tc>
        <w:tc>
          <w:tcPr>
            <w:tcW w:type="dxa" w:w="4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Próximo servicio, confirmación, canciones, cambios, ensayo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Responder asistencia y preparar repertorio</w:t>
            </w:r>
          </w:p>
        </w:tc>
      </w:tr>
      <w:tr>
        <w:tc>
          <w:tcPr>
            <w:tcW w:type="dxa" w:w="14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Líder</w:t>
            </w:r>
          </w:p>
        </w:tc>
        <w:tc>
          <w:tcPr>
            <w:tcW w:type="dxa" w:w="44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Servicio, confirmaciones, pendientes, canciones, tareas</w:t>
            </w:r>
          </w:p>
        </w:tc>
        <w:tc>
          <w:tcPr>
            <w:tcW w:type="dxa" w:w="356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Gestionar su ministerio en el servicio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Administrador</w:t>
            </w:r>
          </w:p>
        </w:tc>
        <w:tc>
          <w:tcPr>
            <w:tcW w:type="dxa" w:w="4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Servicios, ministerios, personas, estado general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Administrar estructura y operación</w:t>
            </w:r>
          </w:p>
        </w:tc>
      </w:tr>
      <w:tr>
        <w:tc>
          <w:tcPr>
            <w:tcW w:type="dxa" w:w="14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Pastor</w:t>
            </w:r>
          </w:p>
        </w:tc>
        <w:tc>
          <w:tcPr>
            <w:tcW w:type="dxa" w:w="44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Servicios, preparación, ministerios, alertas</w:t>
            </w:r>
          </w:p>
        </w:tc>
        <w:tc>
          <w:tcPr>
            <w:tcW w:type="dxa" w:w="356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Ver estado sin configuración técnica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Sonido</w:t>
            </w:r>
          </w:p>
        </w:tc>
        <w:tc>
          <w:tcPr>
            <w:tcW w:type="dxa" w:w="4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Servicio, checklist, configuración, P16 y patch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Preparar operación técnica</w:t>
            </w:r>
          </w:p>
        </w:tc>
      </w:tr>
    </w:tbl>
    <w:p>
      <w:pPr>
        <w:spacing w:after="40"/>
      </w:pPr>
    </w:p>
    <w:p>
      <w:pPr>
        <w:pStyle w:val="Heading1"/>
      </w:pPr>
      <w:r>
        <w:t>10. Sonido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Separar sala, monitoreo y extensión conceptual para streaming.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Representar integrantes, instrumentos, canales, sistemas de monitoreo y observaciones.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Permitir configuraciones P16 diferentes por servicio.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Registrar patch con canal, fuente, micrófono, instrumento, entrada, salida y observación.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Asociar una escena a un servicio.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Registrar prueba con o sin secuencia y estado Pendiente, En progreso o Completada.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Mostrar cambios respecto del servicio anterior.</w:t>
      </w:r>
    </w:p>
    <w:p>
      <w:pPr>
        <w:pStyle w:val="Heading1"/>
      </w:pPr>
      <w:r>
        <w:t>11. Navegación y configuración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Rutas: Inicio, Servicios, Centro del Servicio, Calendario, Canciones, Personas, Recursos, Ministerios y Configuración.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Búsqueda global mediante Cmd + K o Ctrl + K para servicios, canciones, personas, recursos y ministerios.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Sidebar expandible y colapsable; navegación compacta en móvil.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Configuración: tema, información de iglesia, demo, preferencias y restablecimiento confirmado.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El cambio de contexto modifica navegación, dashboard, información y acciones.</w:t>
      </w:r>
    </w:p>
    <w:p>
      <w:pPr>
        <w:pStyle w:val="Heading1"/>
      </w:pPr>
      <w:r>
        <w:t>12. Flujos obligatorios de demostración</w:t>
      </w:r>
    </w:p>
    <w:p>
      <w:pPr>
        <w:pStyle w:val="ListNumber"/>
        <w:spacing w:after="40"/>
        <w:ind w:left="547" w:hanging="288"/>
      </w:pPr>
      <w:r>
        <w:rPr>
          <w:rFonts w:ascii="Aptos" w:hAnsi="Aptos"/>
          <w:b w:val="0"/>
          <w:i w:val="0"/>
          <w:color w:val="172033"/>
          <w:sz w:val="21"/>
        </w:rPr>
        <w:t>Flujo principal: próximo servicio, Centro, asignaciones, confirmación, contexto líder, cambio de tono contextual, recurso, actividad, checklist, calendario y duplicación con confirmaciones pendientes.</w:t>
      </w:r>
    </w:p>
    <w:p>
      <w:pPr>
        <w:pStyle w:val="ListNumber"/>
        <w:spacing w:after="40"/>
        <w:ind w:left="547" w:hanging="288"/>
      </w:pPr>
      <w:r>
        <w:rPr>
          <w:rFonts w:ascii="Aptos" w:hAnsi="Aptos"/>
          <w:b w:val="0"/>
          <w:i w:val="0"/>
          <w:color w:val="172033"/>
          <w:sz w:val="21"/>
        </w:rPr>
        <w:t>Sonido: servicio, checklist, músicos, P16, cambios, patch y preparación completada.</w:t>
      </w:r>
    </w:p>
    <w:p>
      <w:pPr>
        <w:pStyle w:val="ListNumber"/>
        <w:spacing w:after="40"/>
        <w:ind w:left="547" w:hanging="288"/>
      </w:pPr>
      <w:r>
        <w:rPr>
          <w:rFonts w:ascii="Aptos" w:hAnsi="Aptos"/>
          <w:b w:val="0"/>
          <w:i w:val="0"/>
          <w:color w:val="172033"/>
          <w:sz w:val="21"/>
        </w:rPr>
        <w:t>Líder de adoración: confirmaciones, agregar y ordenar canción, cambiar tono, nota, PDF y actividad.</w:t>
      </w:r>
    </w:p>
    <w:p>
      <w:pPr>
        <w:pStyle w:val="ListNumber"/>
        <w:spacing w:after="40"/>
        <w:ind w:left="547" w:hanging="288"/>
      </w:pPr>
      <w:r>
        <w:rPr>
          <w:rFonts w:ascii="Aptos" w:hAnsi="Aptos"/>
          <w:b w:val="0"/>
          <w:i w:val="0"/>
          <w:color w:val="172033"/>
          <w:sz w:val="21"/>
        </w:rPr>
        <w:t>Pastor: estado general, ministerios, alertas y Centro del Servicio sin configuración técnica.</w:t>
      </w:r>
    </w:p>
    <w:p>
      <w:pPr>
        <w:pStyle w:val="Heading1"/>
      </w:pPr>
      <w:r>
        <w:t>13. Criterios de aceptación global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Todas las rutas funcionan y la aplicación compila sin errores TypeScript.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LocalStorage persiste creación, edición, eliminación, duplicación y cambios.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Confirmaciones, tonalidades, recursos, checklist y actividad actualizan solo las entidades correspondientes.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Búsqueda, tema, responsive y estados vacíos funcionan.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Los datos demo son realistas y sus estadísticas coinciden.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Las acciones principales son reales o se simulan de forma coherente y explícita.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123" w:left="126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085"/>
        <w:sz w:val="16"/>
      </w:rPr>
      <w:t>Especificación Funcional del MVP  •  12 de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667085"/>
        <w:sz w:val="17"/>
      </w:rPr>
      <w:t>RUAHTONE  /  DOCUMENTACIÓN OFICIAL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157D5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651C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Funcional del MVP</dc:title>
  <dc:subject>Requisitos funcionales oficiales</dc:subject>
  <dc:creator>RUAHTONE</dc:creator>
  <cp:keywords>RUAHTONE, iglesia, servicios, MVP, producto</cp:keywords>
  <dc:description>Documento generado desde la especificación oficial de RUAHTONE.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