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0"/>
        <w:jc w:val="center"/>
      </w:pPr>
      <w:r>
        <w:rPr>
          <w:rFonts w:ascii="Aptos" w:hAnsi="Aptos"/>
          <w:b/>
          <w:i w:val="0"/>
          <w:color w:val="7651C9"/>
          <w:sz w:val="20"/>
        </w:rPr>
        <w:t>RUAHTONE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3157D5"/>
          <w:sz w:val="60"/>
        </w:rPr>
        <w:t>Modelo de Dominio y Arquitectura</w:t>
      </w:r>
    </w:p>
    <w:p>
      <w:pPr>
        <w:spacing w:after="560"/>
        <w:jc w:val="center"/>
      </w:pPr>
      <w:r>
        <w:rPr>
          <w:rFonts w:ascii="Aptos" w:hAnsi="Aptos"/>
          <w:b w:val="0"/>
          <w:i w:val="0"/>
          <w:color w:val="172033"/>
          <w:sz w:val="30"/>
        </w:rPr>
        <w:t>Entidades, relaciones, fronteras de datos y tecnología oficial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PROPÓSITO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Fuente profesional para diseñar, construir y validar el MVP frontend local de RUAHTONE.</w:t>
            </w:r>
          </w:p>
        </w:tc>
      </w:tr>
    </w:tbl>
    <w:p>
      <w:pPr>
        <w:spacing w:after="40"/>
      </w:pPr>
    </w:p>
    <w:p>
      <w:pPr>
        <w:spacing w:before="800"/>
        <w:jc w:val="center"/>
      </w:pPr>
      <w:r>
        <w:rPr>
          <w:rFonts w:ascii="Aptos" w:hAnsi="Aptos"/>
          <w:b/>
          <w:i w:val="0"/>
          <w:color w:val="667085"/>
          <w:sz w:val="20"/>
        </w:rPr>
        <w:t>RHT-ARCH-001  •  Versión 1.0</w:t>
      </w:r>
      <w:r>
        <w:rPr>
          <w:rFonts w:ascii="Aptos" w:hAnsi="Aptos"/>
          <w:b w:val="0"/>
          <w:i w:val="0"/>
          <w:color w:val="667085"/>
          <w:sz w:val="20"/>
        </w:rPr>
        <w:br/>
        <w:t>12 de agosto de 2026</w:t>
      </w:r>
      <w:r>
        <w:rPr>
          <w:rFonts w:ascii="Aptos" w:hAnsi="Aptos"/>
          <w:b w:val="0"/>
          <w:i w:val="0"/>
          <w:color w:val="667085"/>
          <w:sz w:val="20"/>
        </w:rPr>
        <w:br/>
        <w:t>Estado: Documento oficial del MVP</w:t>
      </w:r>
    </w:p>
    <w:p>
      <w: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157D5"/>
                <w:sz w:val="17"/>
              </w:rPr>
              <w:t>CONTROL DE FUENTE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Este documento reorganiza exclusivamente la Instrucción Principal RUAHTONE — Master Product &amp; Development Prompt. No agrega funcionalidades al alcance oficial.</w:t>
            </w:r>
          </w:p>
        </w:tc>
      </w:tr>
    </w:tbl>
    <w:p>
      <w:pPr>
        <w:spacing w:after="40"/>
      </w:pPr>
    </w:p>
    <w:p>
      <w:pPr>
        <w:pStyle w:val="Heading1"/>
      </w:pPr>
      <w:r>
        <w:t>1. Arquitectura conceptual</w:t>
      </w:r>
    </w:p>
    <w:p>
      <w:pPr>
        <w:widowControl/>
      </w:pPr>
      <w:r>
        <w:t>Los datos se modelan relacionalmente aunque el MVP no utilice backend. Las relaciones guardan identificadores y evitan duplicar información innecesaria.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 oficial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Church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Organización principal; futura relación con plan y usuarios</w:t>
            </w:r>
          </w:p>
        </w:tc>
      </w:tr>
      <w:tr>
        <w:tc>
          <w:tcPr>
            <w:tcW w:type="dxa" w:w="25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User</w:t>
            </w:r>
          </w:p>
        </w:tc>
        <w:tc>
          <w:tcPr>
            <w:tcW w:type="dxa" w:w="6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Identidad de acceso conceptual, separada de permisos y ministerios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Person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Miembro o participante con rol, ministerios, disponibilidad y estado</w:t>
            </w:r>
          </w:p>
        </w:tc>
      </w:tr>
      <w:tr>
        <w:tc>
          <w:tcPr>
            <w:tcW w:type="dxa" w:w="25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Ministry</w:t>
            </w:r>
          </w:p>
        </w:tc>
        <w:tc>
          <w:tcPr>
            <w:tcW w:type="dxa" w:w="6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Área de servicio con líder, miembros, checklist y configuraciones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Unidad operacional central</w:t>
            </w:r>
          </w:p>
        </w:tc>
      </w:tr>
      <w:tr>
        <w:tc>
          <w:tcPr>
            <w:tcW w:type="dxa" w:w="25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ServiceAssignment</w:t>
            </w:r>
          </w:p>
        </w:tc>
        <w:tc>
          <w:tcPr>
            <w:tcW w:type="dxa" w:w="6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Persona asignada a función y ministerio en un servicio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Song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Información global de biblioteca y tonalidad original</w:t>
            </w:r>
          </w:p>
        </w:tc>
      </w:tr>
      <w:tr>
        <w:tc>
          <w:tcPr>
            <w:tcW w:type="dxa" w:w="25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ServiceSong</w:t>
            </w:r>
          </w:p>
        </w:tc>
        <w:tc>
          <w:tcPr>
            <w:tcW w:type="dxa" w:w="6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Configuración contextual de una canción en un servicio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Resource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Recurso relacionado con canción, servicio o ministerio</w:t>
            </w:r>
          </w:p>
        </w:tc>
      </w:tr>
      <w:tr>
        <w:tc>
          <w:tcPr>
            <w:tcW w:type="dxa" w:w="25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Checklist / Item</w:t>
            </w:r>
          </w:p>
        </w:tc>
        <w:tc>
          <w:tcPr>
            <w:tcW w:type="dxa" w:w="6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Preparación contextual y estado de tareas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Activity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Historial estructurado de cambios</w:t>
            </w:r>
          </w:p>
        </w:tc>
      </w:tr>
      <w:tr>
        <w:tc>
          <w:tcPr>
            <w:tcW w:type="dxa" w:w="25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Notification</w:t>
            </w:r>
          </w:p>
        </w:tc>
        <w:tc>
          <w:tcPr>
            <w:tcW w:type="dxa" w:w="68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Aviso relevante para el usuario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SoundConfiguration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Preparación técnica de sala, monitoreo, P16, patch y escena</w:t>
            </w:r>
          </w:p>
        </w:tc>
      </w:tr>
    </w:tbl>
    <w:p>
      <w:pPr>
        <w:spacing w:after="40"/>
      </w:pPr>
    </w:p>
    <w:p>
      <w:pPr>
        <w:pStyle w:val="Heading1"/>
      </w:pPr>
      <w:r>
        <w:t>2. Relaciones principales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Una Iglesia organiza Ministerios, Personas y Servicios.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Una Persona puede pertenecer a varios Ministerios.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Un Servicio contiene Asignaciones que referencian Persona y Ministerio.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Un Servicio contiene ServiceSongs que referencian una Song global.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Recursos se relacionan con Canciones, Servicios o Ministerios.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Checklists se contextualizan por Servicio, Ministerio o Persona.</w:t>
      </w:r>
    </w:p>
    <w:p>
      <w:pPr>
        <w:pStyle w:val="ListNumber"/>
        <w:spacing w:after="40"/>
        <w:ind w:left="547" w:hanging="288"/>
      </w:pPr>
      <w:r>
        <w:rPr>
          <w:rFonts w:ascii="Aptos" w:hAnsi="Aptos"/>
          <w:b w:val="0"/>
          <w:i w:val="0"/>
          <w:color w:val="172033"/>
          <w:sz w:val="21"/>
        </w:rPr>
        <w:t>La Actividad registra modificaciones relevantes del Servicio.</w:t>
      </w:r>
    </w:p>
    <w:p>
      <w:pPr>
        <w:pStyle w:val="Heading1"/>
      </w:pPr>
      <w:r>
        <w:t>3. Diferencia entre datos globales y contextuales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Dato global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Dato contextual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Song.originalKey = D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ServiceSong.key = F para Culto Domingo</w:t>
            </w:r>
          </w:p>
        </w:tc>
      </w:tr>
      <w:tr>
        <w:tc>
          <w:tcPr>
            <w:tcW w:type="dxa" w:w="468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Person y sus ministerios</w:t>
            </w:r>
          </w:p>
        </w:tc>
        <w:tc>
          <w:tcPr>
            <w:tcW w:type="dxa" w:w="468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ServiceAssignment y función en un servicio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Recurso de una canción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Recurso asociado a un servicio específico</w:t>
            </w:r>
          </w:p>
        </w:tc>
      </w:tr>
      <w:tr>
        <w:tc>
          <w:tcPr>
            <w:tcW w:type="dxa" w:w="468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Plantilla de checklist</w:t>
            </w:r>
          </w:p>
        </w:tc>
        <w:tc>
          <w:tcPr>
            <w:tcW w:type="dxa" w:w="468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Checklist ejecutado para un servicio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C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7651C9"/>
                <w:sz w:val="17"/>
              </w:rPr>
              <w:t>INVARIANTE CRÍTICA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Cambiar la tonalidad de una canción dentro de un servicio modifica únicamente ServiceSong. Song.originalKey permanece intacta.</w:t>
            </w:r>
          </w:p>
        </w:tc>
      </w:tr>
    </w:tbl>
    <w:p>
      <w:pPr>
        <w:spacing w:after="40"/>
      </w:pPr>
    </w:p>
    <w:p>
      <w:pPr>
        <w:pStyle w:val="Heading1"/>
      </w:pPr>
      <w:r>
        <w:t>4. Contratos mínimos oficiales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Campos mínimos definidos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Person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id, nombre, apellido, avatar, teléfono opcional, ministerios, rol, disponibilidad, estado</w:t>
            </w:r>
          </w:p>
        </w:tc>
      </w:tr>
      <w:tr>
        <w:tc>
          <w:tcPr>
            <w:tcW w:type="dxa" w:w="23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ServiceAssignment</w:t>
            </w:r>
          </w:p>
        </w:tc>
        <w:tc>
          <w:tcPr>
            <w:tcW w:type="dxa" w:w="70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id, serviceId, personId, ministryId, función, attendanceStatus, notas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Song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id, nombre, autor, tonalidad original, BPM, duración, compás, etiquetas, recursos, historial</w:t>
            </w:r>
          </w:p>
        </w:tc>
      </w:tr>
      <w:tr>
        <w:tc>
          <w:tcPr>
            <w:tcW w:type="dxa" w:w="23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ServiceSong</w:t>
            </w:r>
          </w:p>
        </w:tc>
        <w:tc>
          <w:tcPr>
            <w:tcW w:type="dxa" w:w="70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id, serviceId, songId, orden, key, BPM opcional, versión, notas, enabled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nombre, fecha, horas, lugar, descripción, ministerios, personas, canciones, recursos, checklist, actividad</w:t>
            </w:r>
          </w:p>
        </w:tc>
      </w:tr>
      <w:tr>
        <w:tc>
          <w:tcPr>
            <w:tcW w:type="dxa" w:w="23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Ministry</w:t>
            </w:r>
          </w:p>
        </w:tc>
        <w:tc>
          <w:tcPr>
            <w:tcW w:type="dxa" w:w="70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id, nombre, descripción, icono, color, líder, miembros, checklist, configuraciones</w:t>
            </w:r>
          </w:p>
        </w:tc>
      </w:tr>
    </w:tbl>
    <w:p>
      <w:pPr>
        <w:spacing w:after="40"/>
      </w:pPr>
    </w:p>
    <w:p>
      <w:pPr>
        <w:pStyle w:val="Heading1"/>
      </w:pPr>
      <w:r>
        <w:t>5. Reglas de integridad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Las relaciones almacenan IDs, no nombres duplicados.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Las estadísticas se calculan desde asignaciones y estados reales.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Una confirmación cambia únicamente la asignación de la persona que responde.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Una persona puede tener varios ministerios, pero una sola identidad.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Los cambios importantes generan actividad.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Los servicios históricos conservan canciones, tonalidades y asignaciones utilizadas.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Un conflicto de horario se informa claramente.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Los permisos se simulan aunque no exista autenticación real.</w:t>
      </w:r>
    </w:p>
    <w:p>
      <w:pPr>
        <w:pStyle w:val="Heading1"/>
      </w:pPr>
      <w:r>
        <w:t>6. Estados oficiales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Entidad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3157D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Estados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Servicio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Planificación, Organizando, Confirmando, Listo, Completado, Archivado</w:t>
            </w:r>
          </w:p>
        </w:tc>
      </w:tr>
      <w:tr>
        <w:tc>
          <w:tcPr>
            <w:tcW w:type="dxa" w:w="26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Asistencia</w:t>
            </w:r>
          </w:p>
        </w:tc>
        <w:tc>
          <w:tcPr>
            <w:tcW w:type="dxa" w:w="67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Pendiente, Confirmado, No asistiré, Llegaré tarde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Prueba de sonido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Pendiente, En progreso, Completada</w:t>
            </w:r>
          </w:p>
        </w:tc>
      </w:tr>
      <w:tr>
        <w:tc>
          <w:tcPr>
            <w:tcW w:type="dxa" w:w="260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Checklist</w:t>
            </w:r>
          </w:p>
        </w:tc>
        <w:tc>
          <w:tcPr>
            <w:tcW w:type="dxa" w:w="6760"/>
            <w:shd w:fill="F8F9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Ítems completos o pendientes</w:t>
            </w:r>
          </w:p>
        </w:tc>
      </w:tr>
    </w:tbl>
    <w:p>
      <w:pPr>
        <w:spacing w:after="40"/>
      </w:pPr>
    </w:p>
    <w:p>
      <w:pPr>
        <w:pStyle w:val="Heading1"/>
      </w:pPr>
      <w:r>
        <w:t>7. Tecnología oficial del MVP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React, TypeScript y Vite.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Tailwind CSS y shadcn/ui.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Lucide Icons y Framer Motion.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LocalStorage como persistencia local.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React Context o Zustand solamente si simplifica el estado.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Tipos e interfaces TypeScript para el dominio.</w:t>
      </w:r>
    </w:p>
    <w:p>
      <w:pPr>
        <w:pStyle w:val="Heading1"/>
      </w:pPr>
      <w:r>
        <w:t>8. Restricciones técnicas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No utilizar Firebase, Supabase, PostgreSQL, MongoDB ni APIs externas.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No implementar backend, autenticación real ni servicios cloud.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Crear un store central para personas, ministerios, servicios, asignaciones, canciones, recursos, checklists, actividad y configuración.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Persistir cambios en LocalStorage y permitir restablecer el seed demo.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Separar conceptualmente usuario, permisos, rol, ministerios y datos.</w:t>
      </w:r>
    </w:p>
    <w:p>
      <w:pPr>
        <w:pStyle w:val="Heading1"/>
      </w:pPr>
      <w:r>
        <w:t>9. Preparación para evolución futura</w:t>
      </w:r>
    </w:p>
    <w:p>
      <w:pPr>
        <w:widowControl/>
      </w:pPr>
      <w:r>
        <w:t>Sin implementar estas capacidades, el diseño no debe bloquear aplicación móvil, autenticación, múltiples iglesias, multi-sede, pagos, notificaciones, almacenamiento cloud, roles personalizados, estadísticas, IA e integraciones.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 futura estructura SaaS contempla Iglesia → Plan → Usuarios → Ministerios → Servicios.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La lógica conceptual debe poder reutilizarse en una experiencia móvil.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Sonido contempla streaming como área futura, sin activarlo en el MVP.</w:t>
      </w:r>
    </w:p>
    <w:p>
      <w:pPr>
        <w:pStyle w:val="Heading1"/>
      </w:pPr>
      <w:r>
        <w:t>10. Estructura lógica sugerida por la especificación</w:t>
      </w:r>
    </w:p>
    <w:p>
      <w:pPr>
        <w:widowControl/>
      </w:pPr>
      <w:r>
        <w:t>Esta vista organiza las prioridades oficiales; no introduce una dependencia adicional.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Capa de dominio: entidades, relaciones, estados y reglas.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Store central: acciones y persistencia LocalStorage.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Experiencias por contexto: servidor, líder, administrador, pastor, sonido y multimedia.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Features operacionales: servicios, asignaciones, canciones, recursos, checklists, actividad, calendario y sonido.</w:t>
      </w:r>
    </w:p>
    <w:p>
      <w:pPr>
        <w:pStyle w:val="ListBullet"/>
        <w:spacing w:after="40"/>
        <w:ind w:left="490" w:hanging="245"/>
      </w:pPr>
      <w:r>
        <w:rPr>
          <w:rFonts w:ascii="Aptos" w:hAnsi="Aptos"/>
          <w:b w:val="0"/>
          <w:i w:val="0"/>
          <w:color w:val="172033"/>
          <w:sz w:val="21"/>
        </w:rPr>
        <w:t>Datos demo: Iglesia Manantiales y escenarios consistentes.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085"/>
        <w:sz w:val="16"/>
      </w:rPr>
      <w:t>Modelo de Dominio y Arquitectura  •  12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667085"/>
        <w:sz w:val="17"/>
      </w:rPr>
      <w:t>RUAHTONE  /  DOCUMENTACIÓN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7D5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651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Dominio y Arquitectura</dc:title>
  <dc:subject>Modelo y arquitectura oficial del MVP</dc:subject>
  <dc:creator>RUAHTONE</dc:creator>
  <cp:keywords>RUAHTONE, iglesia, servicios, MVP, producto</cp:keywords>
  <dc:description>Documento generado desde la especificación oficial de RUAHTONE.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