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ToS Corpus &amp; Rights</w:t>
        <w:br/>
        <w:t>Registry</w:t>
      </w:r>
    </w:p>
    <w:p>
      <w:pPr>
        <w:pStyle w:val="Subtitle"/>
      </w:pPr>
      <w:r>
        <w:t>T2-40 / Тхеравадинский коридор</w:t>
        <w:br/>
        <w:t>Шри-Ланка → Бирма → Таиланд → Лаос → Камбоджа</w:t>
      </w:r>
    </w:p>
    <w:p>
      <w:pPr>
        <w:pStyle w:val="Caption"/>
      </w:pPr>
      <w:r>
        <w:t>Исследовательский отчёт • 74 пути доступа • 25 пробелов и задач проверки</w:t>
      </w:r>
    </w:p>
    <w:p>
      <w:pPr>
        <w:pStyle w:val="Heading1"/>
      </w:pPr>
      <w:r>
        <w:t>1. Паспорт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tblHeader/>
          <w:cantSplit/>
        </w:trPr>
        <w:tc>
          <w:tcPr>
            <w:tcW w:type="dxa" w:w="2154"/>
            <w:vAlign w:val="top"/>
            <w:shd w:fill="163E50"/>
          </w:tcPr>
          <w:p>
            <w:pPr>
              <w:spacing w:after="80" w:before="60" w:line="252" w:lineRule="auto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483"/>
            <w:vAlign w:val="top"/>
            <w:shd w:fill="163E50"/>
          </w:tcPr>
          <w:p>
            <w:pPr>
              <w:spacing w:after="80" w:before="60" w:line="252" w:lineRule="auto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Мастер-строка</w:t>
            </w:r>
          </w:p>
        </w:tc>
        <w:tc>
          <w:tcPr>
            <w:tcW w:type="dxa" w:w="7483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T2-40, таблица II; исходный статус B, уверенность 4/5 — без изменений.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Историческое ядро</w:t>
            </w:r>
          </w:p>
        </w:tc>
        <w:tc>
          <w:tcPr>
            <w:tcW w:type="dxa" w:w="7483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Формирование XI–XIV вв.; письменная фиксация/передача XI–XV вв.; канонизация и комментарий XIII–XV вв.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Исходный документ</w:t>
            </w:r>
          </w:p>
        </w:tc>
        <w:tc>
          <w:tcPr>
            <w:tcW w:type="dxa" w:w="7483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ToS Deep Research: T2-40 — Тхеравадинский коридор Шри-Ланка → Бирма → Таиланд → Лаос → Камбоджа; приложенный DOCX с суффиксом (1).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Дата проверки</w:t>
            </w:r>
          </w:p>
        </w:tc>
        <w:tc>
          <w:tcPr>
            <w:tcW w:type="dxa" w:w="7483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4 сентября 2026 г. Доступ и наличие книг — состояние открытых страниц при проверке, не гарантия будущей выдачи.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Поисковые языки</w:t>
            </w:r>
          </w:p>
        </w:tc>
        <w:tc>
          <w:tcPr>
            <w:tcW w:type="dxa" w:w="7483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Английский, французский, русский, тайский; палийские названия и романизации. Бирманский, мон, кхмерский, лаосский и севернотайский также учитывались как языки материалов и каталогов.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Комплект</w:t>
            </w:r>
          </w:p>
        </w:tc>
        <w:tc>
          <w:tcPr>
            <w:tcW w:type="dxa" w:w="7483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XLSX: registry, 32 заданных поля; gaps, 25 записей. DOCX объясняет покрытие, маршруты и ограничения, но не заменяет реестр.</w:t>
            </w:r>
          </w:p>
        </w:tc>
      </w:tr>
    </w:tbl>
    <w:p>
      <w:r>
        <w:t>Ядром считалась не вся тхеравадинская литература, а сеть, заданная DR: палийская педагогика Пагана; Vinaya, ординация и sīmā; реформаторская эпиграфика Калъяни; космология Traiphūmikathā; ланнские tamnan и ānisaṃsa; лаосская история Phra Bang; кхмерские монастырские надписи и поздняя рукописная сохранность. Исходные границы и этот перечень опираются на DR, разделы 1, 3, 6 и 16 [DR].</w:t>
      </w:r>
    </w:p>
    <w:p>
      <w:r>
        <w:t>Искались произведения, корпуса, переводы и издания, рукописные и эпиграфические свидетели, факсимиле, транскрипции, RTI-наборы, каталоги и необходимые библиографические указатели. Главные источники доступа — Pali Text Society, GRETIL/SUB Göttingen, EFEO, British Library, CrossAsia, Library of Congress, Wellcome, Thai Fine Arts Department, SAC, Siam Society, Persée, институциональные сканы Internet Archive и проектные депозиты Zenodo. Издательские, библиотечные и музейные страницы использовались для идентификации; права проверялись отдельно.</w:t>
      </w:r>
    </w:p>
    <w:p>
      <w:r>
        <w:t xml:space="preserve">Обозначение </w:t>
      </w:r>
      <w:hyperlink r:id="rId11">
        <w:r>
          <w:rPr>
            <w:color w:val="246276"/>
            <w:u w:val="single"/>
          </w:rPr>
          <w:t>[R030]</w:t>
        </w:r>
      </w:hyperlink>
      <w:r>
        <w:t xml:space="preserve"> — сокращённый ID T2-40-R030 в XLSX; гиперссылка ведёт на внешний источник записи. </w:t>
      </w:r>
      <w:hyperlink r:id="rId12">
        <w:r>
          <w:rPr>
            <w:color w:val="246276"/>
            <w:u w:val="single"/>
          </w:rPr>
          <w:t>[L01]</w:t>
        </w:r>
      </w:hyperlink>
      <w:r>
        <w:t>–</w:t>
      </w:r>
      <w:hyperlink r:id="rId13">
        <w:r>
          <w:rPr>
            <w:color w:val="246276"/>
            <w:u w:val="single"/>
          </w:rPr>
          <w:t>[L10]</w:t>
        </w:r>
      </w:hyperlink>
      <w:r>
        <w:t xml:space="preserve"> ведут к существенным правовым уведомлениям. [DR] — приложенный исходный документ. Связь дополнительного текста с T2-40 является исследовательской классификацией, а не доказательством прямого заимствования, если оно отдельно не установлено.</w:t>
      </w:r>
    </w:p>
    <w:p>
      <w:r>
        <w:t>Основной реестр не основан на Wikipedia. Сборник об Изумрудном Будде и Sīhiṅga оставлен unverified_candidate (G015): торговая/поисковая подсказка ещё не получила сильного подтверждения. Набор ThaiOldBooks отложен по иной причине — непроверенная цепочка прав (G005), а не отсутствие объекта.</w:t>
      </w:r>
    </w:p>
    <w:p>
      <w:pPr>
        <w:pStyle w:val="Heading1"/>
      </w:pPr>
      <w:r>
        <w:t>2. Охват корпуса</w:t>
      </w:r>
    </w:p>
    <w:p>
      <w:pPr>
        <w:pStyle w:val="Heading2"/>
      </w:pPr>
      <w:r>
        <w:t>2.1. Что взято из DR и что добавлено</w:t>
      </w:r>
    </w:p>
    <w:p>
      <w:r>
        <w:t xml:space="preserve">Прямые якоря DR получили входы либо явные ограничения. Saddanīti представлена покупкой научного издания и бесплатным сканом первого тома; Калъяни — двумя экземплярами издания 1892 г.; Traiphūmikathā — двумя тайскими каталогизированными изданиями и предложением библиотечной выдачи английского перевода. Для Phra Bang найден именно EFEO PALI 137, а не похожий рассказ; полного факсимиле не получено. Vinayasāra и составной Vinaya/Kammavācā-сборник подтверждены каталогом BL, но перечисленные TIFF не стали доступными изображениями. </w:t>
      </w:r>
      <w:hyperlink r:id="rId14">
        <w:r>
          <w:rPr>
            <w:color w:val="246276"/>
            <w:u w:val="single"/>
          </w:rPr>
          <w:t>[R001]</w:t>
        </w:r>
      </w:hyperlink>
      <w:r>
        <w:t xml:space="preserve"> </w:t>
      </w:r>
      <w:hyperlink r:id="rId15">
        <w:r>
          <w:rPr>
            <w:color w:val="246276"/>
            <w:u w:val="single"/>
          </w:rPr>
          <w:t>[R002]</w:t>
        </w:r>
      </w:hyperlink>
      <w:r>
        <w:t xml:space="preserve"> </w:t>
      </w:r>
      <w:hyperlink r:id="rId16">
        <w:r>
          <w:rPr>
            <w:color w:val="246276"/>
            <w:u w:val="single"/>
          </w:rPr>
          <w:t>[R003]</w:t>
        </w:r>
      </w:hyperlink>
      <w:r>
        <w:t xml:space="preserve"> </w:t>
      </w:r>
      <w:hyperlink r:id="rId17">
        <w:r>
          <w:rPr>
            <w:color w:val="246276"/>
            <w:u w:val="single"/>
          </w:rPr>
          <w:t>[R006]</w:t>
        </w:r>
      </w:hyperlink>
      <w:r>
        <w:t xml:space="preserve"> </w:t>
      </w:r>
      <w:hyperlink r:id="rId18">
        <w:r>
          <w:rPr>
            <w:color w:val="246276"/>
            <w:u w:val="single"/>
          </w:rPr>
          <w:t>[R007]</w:t>
        </w:r>
      </w:hyperlink>
      <w:r>
        <w:t xml:space="preserve"> </w:t>
      </w:r>
      <w:hyperlink r:id="rId19">
        <w:r>
          <w:rPr>
            <w:color w:val="246276"/>
            <w:u w:val="single"/>
          </w:rPr>
          <w:t>[R031]</w:t>
        </w:r>
      </w:hyperlink>
      <w:r>
        <w:t xml:space="preserve"> </w:t>
      </w:r>
      <w:hyperlink r:id="rId20">
        <w:r>
          <w:rPr>
            <w:color w:val="246276"/>
            <w:u w:val="single"/>
          </w:rPr>
          <w:t>[R032]</w:t>
        </w:r>
      </w:hyperlink>
      <w:r>
        <w:t xml:space="preserve"> </w:t>
      </w:r>
      <w:hyperlink r:id="rId21">
        <w:r>
          <w:rPr>
            <w:color w:val="246276"/>
            <w:u w:val="single"/>
          </w:rPr>
          <w:t>[R052]</w:t>
        </w:r>
      </w:hyperlink>
      <w:r>
        <w:t xml:space="preserve"> </w:t>
      </w:r>
      <w:hyperlink r:id="rId22">
        <w:r>
          <w:rPr>
            <w:color w:val="246276"/>
            <w:u w:val="single"/>
          </w:rPr>
          <w:t>[R053]</w:t>
        </w:r>
      </w:hyperlink>
      <w:r>
        <w:t xml:space="preserve"> </w:t>
      </w:r>
      <w:hyperlink r:id="rId23">
        <w:r>
          <w:rPr>
            <w:color w:val="246276"/>
            <w:u w:val="single"/>
          </w:rPr>
          <w:t>[R054]</w:t>
        </w:r>
      </w:hyperlink>
      <w:r/>
    </w:p>
    <w:p>
      <w:r>
        <w:t xml:space="preserve">Веб-поиск расширил филологическую часть: Kaccāyanasuttaniddesa, Saddatthabhedacintā, Kaccāyanabheda, Bālāvatāra, Abhidhānappadīpikā, Subodhālaṅkāra, Moggallāyanavyākaraṇa, Mahārūpasiddhi и Saddabindu. Их связь — конкретный учебный репертуар грамматики, словаря и поэтики пали, а не одна лишь принадлежность к буддизму. Издание Kaccāyana с Kaccāyanavutti связывает этот ряд с более ранней грамматической линией. Точные даты многих текстов в доступных электронных карточках не установлены и не подменены датой оцифровки. </w:t>
      </w:r>
      <w:hyperlink r:id="rId24">
        <w:r>
          <w:rPr>
            <w:color w:val="246276"/>
            <w:u w:val="single"/>
          </w:rPr>
          <w:t>[R017]</w:t>
        </w:r>
      </w:hyperlink>
      <w:r>
        <w:t xml:space="preserve"> </w:t>
      </w:r>
      <w:hyperlink r:id="rId25">
        <w:r>
          <w:rPr>
            <w:color w:val="246276"/>
            <w:u w:val="single"/>
          </w:rPr>
          <w:t>[R018]</w:t>
        </w:r>
      </w:hyperlink>
      <w:r>
        <w:t xml:space="preserve"> </w:t>
      </w:r>
      <w:hyperlink r:id="rId26">
        <w:r>
          <w:rPr>
            <w:color w:val="246276"/>
            <w:u w:val="single"/>
          </w:rPr>
          <w:t>[R019]</w:t>
        </w:r>
      </w:hyperlink>
      <w:r>
        <w:t xml:space="preserve"> </w:t>
      </w:r>
      <w:hyperlink r:id="rId27">
        <w:r>
          <w:rPr>
            <w:color w:val="246276"/>
            <w:u w:val="single"/>
          </w:rPr>
          <w:t>[R021]</w:t>
        </w:r>
      </w:hyperlink>
      <w:r>
        <w:t xml:space="preserve"> </w:t>
      </w:r>
      <w:hyperlink r:id="rId28">
        <w:r>
          <w:rPr>
            <w:color w:val="246276"/>
            <w:u w:val="single"/>
          </w:rPr>
          <w:t>[R022]</w:t>
        </w:r>
      </w:hyperlink>
      <w:r>
        <w:t xml:space="preserve"> </w:t>
      </w:r>
      <w:hyperlink r:id="rId29">
        <w:r>
          <w:rPr>
            <w:color w:val="246276"/>
            <w:u w:val="single"/>
          </w:rPr>
          <w:t>[R023]</w:t>
        </w:r>
      </w:hyperlink>
      <w:r>
        <w:t xml:space="preserve"> </w:t>
      </w:r>
      <w:hyperlink r:id="rId30">
        <w:r>
          <w:rPr>
            <w:color w:val="246276"/>
            <w:u w:val="single"/>
          </w:rPr>
          <w:t>[R024]</w:t>
        </w:r>
      </w:hyperlink>
      <w:r>
        <w:t xml:space="preserve"> </w:t>
      </w:r>
      <w:hyperlink r:id="rId31">
        <w:r>
          <w:rPr>
            <w:color w:val="246276"/>
            <w:u w:val="single"/>
          </w:rPr>
          <w:t>[R025]</w:t>
        </w:r>
      </w:hyperlink>
      <w:r>
        <w:t xml:space="preserve"> </w:t>
      </w:r>
      <w:hyperlink r:id="rId32">
        <w:r>
          <w:rPr>
            <w:color w:val="246276"/>
            <w:u w:val="single"/>
          </w:rPr>
          <w:t>[R026]</w:t>
        </w:r>
      </w:hyperlink>
      <w:r>
        <w:t xml:space="preserve"> </w:t>
      </w:r>
      <w:hyperlink r:id="rId33">
        <w:r>
          <w:rPr>
            <w:color w:val="246276"/>
            <w:u w:val="single"/>
          </w:rPr>
          <w:t>[R071]</w:t>
        </w:r>
      </w:hyperlink>
      <w:r/>
    </w:p>
    <w:p>
      <w:r>
        <w:t xml:space="preserve">К дисциплинарной, хроникальной и космологической семье добавлены Khuddasikkhā/Mūlasikkhā, Pañcagatidīpanī, Lokappadīpakasāra, Sandesakathā, Gandhavaṃsa, Saddhammasaṅgaha, Sīmāvivādavinicchayakathā и Anāgatavaṃsa. Это соответственно учебники нормы, тексты посмертных уделов/космоса, монастырская коммуникация, история книг и сангхи, полемика о границах и будущий Будда. Некоторые родства жанровые, а не доказанные отношения «источник → цитата»; Lokappadīpakasāra не объявлена источником именно редакции Traiphūmi 1345 г. </w:t>
      </w:r>
      <w:hyperlink r:id="rId34">
        <w:r>
          <w:rPr>
            <w:color w:val="246276"/>
            <w:u w:val="single"/>
          </w:rPr>
          <w:t>[R008]</w:t>
        </w:r>
      </w:hyperlink>
      <w:r>
        <w:t xml:space="preserve"> </w:t>
      </w:r>
      <w:hyperlink r:id="rId35">
        <w:r>
          <w:rPr>
            <w:color w:val="246276"/>
            <w:u w:val="single"/>
          </w:rPr>
          <w:t>[R009]</w:t>
        </w:r>
      </w:hyperlink>
      <w:r>
        <w:t xml:space="preserve"> </w:t>
      </w:r>
      <w:hyperlink r:id="rId36">
        <w:r>
          <w:rPr>
            <w:color w:val="246276"/>
            <w:u w:val="single"/>
          </w:rPr>
          <w:t>[R011]</w:t>
        </w:r>
      </w:hyperlink>
      <w:r>
        <w:t xml:space="preserve"> </w:t>
      </w:r>
      <w:hyperlink r:id="rId37">
        <w:r>
          <w:rPr>
            <w:color w:val="246276"/>
            <w:u w:val="single"/>
          </w:rPr>
          <w:t>[R012]</w:t>
        </w:r>
      </w:hyperlink>
      <w:r>
        <w:t xml:space="preserve"> </w:t>
      </w:r>
      <w:hyperlink r:id="rId38">
        <w:r>
          <w:rPr>
            <w:color w:val="246276"/>
            <w:u w:val="single"/>
          </w:rPr>
          <w:t>[R013]</w:t>
        </w:r>
      </w:hyperlink>
      <w:r>
        <w:t xml:space="preserve"> </w:t>
      </w:r>
      <w:hyperlink r:id="rId39">
        <w:r>
          <w:rPr>
            <w:color w:val="246276"/>
            <w:u w:val="single"/>
          </w:rPr>
          <w:t>[R014]</w:t>
        </w:r>
      </w:hyperlink>
      <w:r>
        <w:t xml:space="preserve"> </w:t>
      </w:r>
      <w:hyperlink r:id="rId40">
        <w:r>
          <w:rPr>
            <w:color w:val="246276"/>
            <w:u w:val="single"/>
          </w:rPr>
          <w:t>[R015]</w:t>
        </w:r>
      </w:hyperlink>
      <w:r>
        <w:t xml:space="preserve"> </w:t>
      </w:r>
      <w:hyperlink r:id="rId41">
        <w:r>
          <w:rPr>
            <w:color w:val="246276"/>
            <w:u w:val="single"/>
          </w:rPr>
          <w:t>[R020]</w:t>
        </w:r>
      </w:hyperlink>
      <w:r/>
    </w:p>
    <w:p>
      <w:r>
        <w:t xml:space="preserve">Региональное расширение включает Jinakālamālī, Cāmadevīvaṃsa, Tamnan Mūlasāsanā, три конкретных ланнских tamnan, палийскую версию Phra Mālai с научным переводом, Nibbānasutta, Paññāsajātaka, позднюю королевскую компиляцию Traiphum и каталогизированные Paṭhamasambodhi/Mahādibbamantaparitta. Важное материальное добавление — Myazedi: музейная идентификация и два набора съёмки отдельных камней, а не три разных произведения. </w:t>
      </w:r>
      <w:hyperlink r:id="rId42">
        <w:r>
          <w:rPr>
            <w:color w:val="246276"/>
            <w:u w:val="single"/>
          </w:rPr>
          <w:t>[R038]</w:t>
        </w:r>
      </w:hyperlink>
      <w:r>
        <w:t xml:space="preserve"> </w:t>
      </w:r>
      <w:hyperlink r:id="rId43">
        <w:r>
          <w:rPr>
            <w:color w:val="246276"/>
            <w:u w:val="single"/>
          </w:rPr>
          <w:t>[R041]</w:t>
        </w:r>
      </w:hyperlink>
      <w:r>
        <w:t xml:space="preserve"> </w:t>
      </w:r>
      <w:hyperlink r:id="rId44">
        <w:r>
          <w:rPr>
            <w:color w:val="246276"/>
            <w:u w:val="single"/>
          </w:rPr>
          <w:t>[R042]</w:t>
        </w:r>
      </w:hyperlink>
      <w:r>
        <w:t xml:space="preserve"> </w:t>
      </w:r>
      <w:hyperlink r:id="rId45">
        <w:r>
          <w:rPr>
            <w:color w:val="246276"/>
            <w:u w:val="single"/>
          </w:rPr>
          <w:t>[R043]</w:t>
        </w:r>
      </w:hyperlink>
      <w:r>
        <w:t xml:space="preserve"> </w:t>
      </w:r>
      <w:hyperlink r:id="rId46">
        <w:r>
          <w:rPr>
            <w:color w:val="246276"/>
            <w:u w:val="single"/>
          </w:rPr>
          <w:t>[R047]</w:t>
        </w:r>
      </w:hyperlink>
      <w:r>
        <w:t xml:space="preserve"> </w:t>
      </w:r>
      <w:hyperlink r:id="rId47">
        <w:r>
          <w:rPr>
            <w:color w:val="246276"/>
            <w:u w:val="single"/>
          </w:rPr>
          <w:t>[R048]</w:t>
        </w:r>
      </w:hyperlink>
      <w:r>
        <w:t xml:space="preserve"> </w:t>
      </w:r>
      <w:hyperlink r:id="rId48">
        <w:r>
          <w:rPr>
            <w:color w:val="246276"/>
            <w:u w:val="single"/>
          </w:rPr>
          <w:t>[R049]</w:t>
        </w:r>
      </w:hyperlink>
      <w:r>
        <w:t xml:space="preserve"> </w:t>
      </w:r>
      <w:hyperlink r:id="rId49">
        <w:r>
          <w:rPr>
            <w:color w:val="246276"/>
            <w:u w:val="single"/>
          </w:rPr>
          <w:t>[R055]</w:t>
        </w:r>
      </w:hyperlink>
      <w:r>
        <w:t xml:space="preserve"> </w:t>
      </w:r>
      <w:hyperlink r:id="rId50">
        <w:r>
          <w:rPr>
            <w:color w:val="246276"/>
            <w:u w:val="single"/>
          </w:rPr>
          <w:t>[R060]</w:t>
        </w:r>
      </w:hyperlink>
      <w:r>
        <w:t xml:space="preserve"> </w:t>
      </w:r>
      <w:hyperlink r:id="rId51">
        <w:r>
          <w:rPr>
            <w:color w:val="246276"/>
            <w:u w:val="single"/>
          </w:rPr>
          <w:t>[R062]</w:t>
        </w:r>
      </w:hyperlink>
      <w:r>
        <w:t xml:space="preserve"> </w:t>
      </w:r>
      <w:hyperlink r:id="rId52">
        <w:r>
          <w:rPr>
            <w:color w:val="246276"/>
            <w:u w:val="single"/>
          </w:rPr>
          <w:t>[R063]</w:t>
        </w:r>
      </w:hyperlink>
      <w:r>
        <w:t xml:space="preserve"> </w:t>
      </w:r>
      <w:hyperlink r:id="rId53">
        <w:r>
          <w:rPr>
            <w:color w:val="246276"/>
            <w:u w:val="single"/>
          </w:rPr>
          <w:t>[R064]</w:t>
        </w:r>
      </w:hyperlink>
      <w:r>
        <w:t xml:space="preserve"> </w:t>
      </w:r>
      <w:hyperlink r:id="rId54">
        <w:r>
          <w:rPr>
            <w:color w:val="246276"/>
            <w:u w:val="single"/>
          </w:rPr>
          <w:t>[R065]</w:t>
        </w:r>
      </w:hyperlink>
      <w:r>
        <w:t xml:space="preserve"> </w:t>
      </w:r>
      <w:hyperlink r:id="rId55">
        <w:r>
          <w:rPr>
            <w:color w:val="246276"/>
            <w:u w:val="single"/>
          </w:rPr>
          <w:t>[R067]</w:t>
        </w:r>
      </w:hyperlink>
      <w:r>
        <w:t xml:space="preserve"> </w:t>
      </w:r>
      <w:hyperlink r:id="rId56">
        <w:r>
          <w:rPr>
            <w:color w:val="246276"/>
            <w:u w:val="single"/>
          </w:rPr>
          <w:t>[R068]</w:t>
        </w:r>
      </w:hyperlink>
      <w:r>
        <w:t xml:space="preserve"> </w:t>
      </w:r>
      <w:hyperlink r:id="rId57">
        <w:r>
          <w:rPr>
            <w:color w:val="246276"/>
            <w:u w:val="single"/>
          </w:rPr>
          <w:t>[R069]</w:t>
        </w:r>
      </w:hyperlink>
      <w:r/>
    </w:p>
    <w:p>
      <w:pPr>
        <w:pStyle w:val="Heading2"/>
      </w:pPr>
      <w:r>
        <w:t>2.2. Поиск назад: входящие тексты и свидетельства</w:t>
      </w:r>
    </w:p>
    <w:p>
      <w:r>
        <w:t xml:space="preserve">Канонический вход представлен палийскими файлами SLTP на Access to Insight, двумя английскими изданиями Винаи и конкретным томом Samantapāsādikā. Dīpavaṃsa и Mahāvaṃsa дают более ранний хроникальный язык преемственности Ланки; Visuddhimagga — комментаторский/систематический репертуар последующей монастырской учёности. Mahāvaṃsa содержит и более поздние продолжения: antecedent относится прежде всего к раннему ядру, а не датирует весь файл одним временем. </w:t>
      </w:r>
      <w:hyperlink r:id="rId58">
        <w:r>
          <w:rPr>
            <w:color w:val="246276"/>
            <w:u w:val="single"/>
          </w:rPr>
          <w:t>[R005]</w:t>
        </w:r>
      </w:hyperlink>
      <w:r>
        <w:t xml:space="preserve"> </w:t>
      </w:r>
      <w:hyperlink r:id="rId59">
        <w:r>
          <w:rPr>
            <w:color w:val="246276"/>
            <w:u w:val="single"/>
          </w:rPr>
          <w:t>[R027]</w:t>
        </w:r>
      </w:hyperlink>
      <w:r>
        <w:t xml:space="preserve"> </w:t>
      </w:r>
      <w:hyperlink r:id="rId60">
        <w:r>
          <w:rPr>
            <w:color w:val="246276"/>
            <w:u w:val="single"/>
          </w:rPr>
          <w:t>[R028]</w:t>
        </w:r>
      </w:hyperlink>
      <w:r>
        <w:t xml:space="preserve"> </w:t>
      </w:r>
      <w:hyperlink r:id="rId61">
        <w:r>
          <w:rPr>
            <w:color w:val="246276"/>
            <w:u w:val="single"/>
          </w:rPr>
          <w:t>[R029]</w:t>
        </w:r>
      </w:hyperlink>
      <w:r>
        <w:t xml:space="preserve"> </w:t>
      </w:r>
      <w:hyperlink r:id="rId11">
        <w:r>
          <w:rPr>
            <w:color w:val="246276"/>
            <w:u w:val="single"/>
          </w:rPr>
          <w:t>[R030]</w:t>
        </w:r>
      </w:hyperlink>
      <w:r>
        <w:t xml:space="preserve"> </w:t>
      </w:r>
      <w:hyperlink r:id="rId62">
        <w:r>
          <w:rPr>
            <w:color w:val="246276"/>
            <w:u w:val="single"/>
          </w:rPr>
          <w:t>[R033]</w:t>
        </w:r>
      </w:hyperlink>
      <w:r>
        <w:t xml:space="preserve"> </w:t>
      </w:r>
      <w:hyperlink r:id="rId63">
        <w:r>
          <w:rPr>
            <w:color w:val="246276"/>
            <w:u w:val="single"/>
          </w:rPr>
          <w:t>[R034]</w:t>
        </w:r>
      </w:hyperlink>
      <w:r/>
    </w:p>
    <w:p>
      <w:r>
        <w:t xml:space="preserve">Kaccāyana/Kaccāyanavutti отнесены к antecedent по датировке грамматики VI–VII вв. в карточке PTS. Традиционная связь с Mahā-Kaccāyana не превращена в утверждение, что ученик Будды жил в эти века. Палийская табличка Ангкор-Борей K.1355, палеографически VII–VIII вв., содержит формулы и стихи с параллелями в канонических текстах; это ранний письменный вход, а не доказательство непрерывной линии посвящения до Ангкора XIII–XV вв. </w:t>
      </w:r>
      <w:hyperlink r:id="rId33">
        <w:r>
          <w:rPr>
            <w:color w:val="246276"/>
            <w:u w:val="single"/>
          </w:rPr>
          <w:t>[R071]</w:t>
        </w:r>
      </w:hyperlink>
      <w:r>
        <w:t xml:space="preserve"> </w:t>
      </w:r>
      <w:hyperlink r:id="rId64">
        <w:r>
          <w:rPr>
            <w:color w:val="246276"/>
            <w:u w:val="single"/>
          </w:rPr>
          <w:t>[R056]</w:t>
        </w:r>
      </w:hyperlink>
      <w:r/>
    </w:p>
    <w:p>
      <w:r>
        <w:t xml:space="preserve">Vessantara-jātaka, Ja 547, включена как конкретный канонико-комментаторский источник региональных повествований, прямо отмеченных в DR. Найден полный английский HTML в современной редакции и отдельный научный перевод Cone/Gombrich. Их наличие не означает покрытия тайских, лаосских, кхмерских и бирманских переработок; эти линии сохранены в G014. </w:t>
      </w:r>
      <w:hyperlink r:id="rId65">
        <w:r>
          <w:rPr>
            <w:color w:val="246276"/>
            <w:u w:val="single"/>
          </w:rPr>
          <w:t>[R070]</w:t>
        </w:r>
      </w:hyperlink>
      <w:r>
        <w:t xml:space="preserve"> </w:t>
      </w:r>
      <w:hyperlink r:id="rId66">
        <w:r>
          <w:rPr>
            <w:color w:val="246276"/>
            <w:u w:val="single"/>
          </w:rPr>
          <w:t>[R072]</w:t>
        </w:r>
      </w:hyperlink>
      <w:r/>
    </w:p>
    <w:p>
      <w:pPr>
        <w:pStyle w:val="Heading2"/>
      </w:pPr>
      <w:r>
        <w:t>2.3. Поиск вперёд: продолжения, рецепция, сохранение</w:t>
      </w:r>
    </w:p>
    <w:p>
      <w:r>
        <w:t xml:space="preserve">Jinakālamālī XVI в. непосредственно продолжает ланнскую память о монастырях, изображениях и распространении учения; она не исключена как «поздняя». Sāsanavaṃsa 1861 г. важна как ретроспективная бирманская история преемственности и палийских книг: доступно палийское издание Bode и часть русского перевода. Chakesadhātuvaṃsa и поздняя Sīmāvivādavinicchayakathā сохраняют реликварную хронику и полемику об ординационных границах. Это источники поздней памяти/аргументации, а не автоматически современные событиям XI–XV вв. свидетельства. </w:t>
      </w:r>
      <w:hyperlink r:id="rId67">
        <w:r>
          <w:rPr>
            <w:color w:val="246276"/>
            <w:u w:val="single"/>
          </w:rPr>
          <w:t>[R010]</w:t>
        </w:r>
      </w:hyperlink>
      <w:r>
        <w:t xml:space="preserve"> </w:t>
      </w:r>
      <w:hyperlink r:id="rId39">
        <w:r>
          <w:rPr>
            <w:color w:val="246276"/>
            <w:u w:val="single"/>
          </w:rPr>
          <w:t>[R014]</w:t>
        </w:r>
      </w:hyperlink>
      <w:r>
        <w:t xml:space="preserve"> </w:t>
      </w:r>
      <w:hyperlink r:id="rId42">
        <w:r>
          <w:rPr>
            <w:color w:val="246276"/>
            <w:u w:val="single"/>
          </w:rPr>
          <w:t>[R038]</w:t>
        </w:r>
      </w:hyperlink>
      <w:r>
        <w:t xml:space="preserve"> </w:t>
      </w:r>
      <w:hyperlink r:id="rId68">
        <w:r>
          <w:rPr>
            <w:color w:val="246276"/>
            <w:u w:val="single"/>
          </w:rPr>
          <w:t>[R039]</w:t>
        </w:r>
      </w:hyperlink>
      <w:r>
        <w:t xml:space="preserve"> </w:t>
      </w:r>
      <w:hyperlink r:id="rId69">
        <w:r>
          <w:rPr>
            <w:color w:val="246276"/>
            <w:u w:val="single"/>
          </w:rPr>
          <w:t>[R050]</w:t>
        </w:r>
      </w:hyperlink>
      <w:r>
        <w:t xml:space="preserve"> </w:t>
      </w:r>
      <w:hyperlink r:id="rId70">
        <w:r>
          <w:rPr>
            <w:color w:val="246276"/>
            <w:u w:val="single"/>
          </w:rPr>
          <w:t>[R051]</w:t>
        </w:r>
      </w:hyperlink>
      <w:r/>
    </w:p>
    <w:p>
      <w:r>
        <w:t xml:space="preserve">Поздние сиамские и кхмерские продолжения не смешаны с ядром. Traiphūmilokavinicchayakathā — отдельная королевская компиляция той же семьи, а не ещё одна глава Lithai. IMA 34 и 38 относятся к 1696 и 1701 гг. и продолжают письменную практику заслуги и дарения; другие включённые IMA также не названы полным средневековым корпусом. Vajirasāratthasaṅgaha с ṭīkā — ланнская учёность XVI в., но пока в реестре только подтверждённый навигационный вход к изданию. </w:t>
      </w:r>
      <w:hyperlink r:id="rId71">
        <w:r>
          <w:rPr>
            <w:color w:val="246276"/>
            <w:u w:val="single"/>
          </w:rPr>
          <w:t>[R059]</w:t>
        </w:r>
      </w:hyperlink>
      <w:r>
        <w:t xml:space="preserve"> </w:t>
      </w:r>
      <w:hyperlink r:id="rId72">
        <w:r>
          <w:rPr>
            <w:color w:val="246276"/>
            <w:u w:val="single"/>
          </w:rPr>
          <w:t>[R058]</w:t>
        </w:r>
      </w:hyperlink>
      <w:r>
        <w:t xml:space="preserve"> </w:t>
      </w:r>
      <w:hyperlink r:id="rId52">
        <w:r>
          <w:rPr>
            <w:color w:val="246276"/>
            <w:u w:val="single"/>
          </w:rPr>
          <w:t>[R063]</w:t>
        </w:r>
      </w:hyperlink>
      <w:r>
        <w:t xml:space="preserve"> </w:t>
      </w:r>
      <w:hyperlink r:id="rId73">
        <w:r>
          <w:rPr>
            <w:color w:val="246276"/>
            <w:u w:val="single"/>
          </w:rPr>
          <w:t>[R066]</w:t>
        </w:r>
      </w:hyperlink>
      <w:r/>
    </w:p>
    <w:p>
      <w:r>
        <w:t xml:space="preserve">Даты физических копий выделены независимо от дат сочинений: EFEO PALI 137 — 1915; три ланнских tamnan — копии 1962; THAI YUAN 65 — 1985; PALI 75 — 1836. Последний представляет девять связок и объединяет paritta, ānisaṃsa, Pāṭimokkha и другие тексты. Он учтён одним свидетелем с описанием состава, а не раздут на множество якобы независимых файлов. </w:t>
      </w:r>
      <w:hyperlink r:id="rId16">
        <w:r>
          <w:rPr>
            <w:color w:val="246276"/>
            <w:u w:val="single"/>
          </w:rPr>
          <w:t>[R003]</w:t>
        </w:r>
      </w:hyperlink>
      <w:r>
        <w:t xml:space="preserve"> </w:t>
      </w:r>
      <w:hyperlink r:id="rId43">
        <w:r>
          <w:rPr>
            <w:color w:val="246276"/>
            <w:u w:val="single"/>
          </w:rPr>
          <w:t>[R041]</w:t>
        </w:r>
      </w:hyperlink>
      <w:r>
        <w:t xml:space="preserve"> </w:t>
      </w:r>
      <w:hyperlink r:id="rId44">
        <w:r>
          <w:rPr>
            <w:color w:val="246276"/>
            <w:u w:val="single"/>
          </w:rPr>
          <w:t>[R042]</w:t>
        </w:r>
      </w:hyperlink>
      <w:r>
        <w:t xml:space="preserve"> </w:t>
      </w:r>
      <w:hyperlink r:id="rId45">
        <w:r>
          <w:rPr>
            <w:color w:val="246276"/>
            <w:u w:val="single"/>
          </w:rPr>
          <w:t>[R043]</w:t>
        </w:r>
      </w:hyperlink>
      <w:r>
        <w:t xml:space="preserve"> </w:t>
      </w:r>
      <w:hyperlink r:id="rId53">
        <w:r>
          <w:rPr>
            <w:color w:val="246276"/>
            <w:u w:val="single"/>
          </w:rPr>
          <w:t>[R064]</w:t>
        </w:r>
      </w:hyperlink>
      <w:r>
        <w:t xml:space="preserve"> </w:t>
      </w:r>
      <w:hyperlink r:id="rId54">
        <w:r>
          <w:rPr>
            <w:color w:val="246276"/>
            <w:u w:val="single"/>
          </w:rPr>
          <w:t>[R065]</w:t>
        </w:r>
      </w:hyperlink>
      <w:r/>
    </w:p>
    <w:p>
      <w:pPr>
        <w:pStyle w:val="Heading2"/>
      </w:pPr>
      <w:r>
        <w:t>2.4. Количественные итоги и пределы счёта</w:t>
      </w:r>
    </w:p>
    <w:p>
      <w:r>
        <w:t>В XLSX — 74 практически различимых пути. Из них 68 относятся к первичным текстам, версиям, свидетелям и изданиям; ещё 3 — инфраструктура и 3 — необходимая вторичная навигация. При ручном объединении переводов, экземпляров и свидетелей получается 53 учётные позиции уровня «произведение / корпусная группа». Это не заявление о 53 независимых авторских сочинениях: составное издание двух учебников считается одной позицией, а Phra Mālai, Сукхотайская эпиграфика и IMA — группами. Большой портал не считается числом всех его рукописей.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794"/>
        <w:gridCol w:w="5613"/>
      </w:tblGrid>
      <w:tr>
        <w:trPr>
          <w:tblHeader/>
          <w:cantSplit/>
        </w:trPr>
        <w:tc>
          <w:tcPr>
            <w:tcW w:type="dxa" w:w="3231"/>
            <w:vAlign w:val="top"/>
            <w:shd w:fill="163E50"/>
          </w:tcPr>
          <w:p>
            <w:pPr>
              <w:spacing w:after="80" w:before="60" w:line="252" w:lineRule="auto"/>
            </w:pPr>
            <w:r>
              <w:rPr>
                <w:b/>
                <w:color w:val="FFFFFF"/>
                <w:sz w:val="18"/>
              </w:rPr>
              <w:t>Релевантность</w:t>
            </w:r>
          </w:p>
        </w:tc>
        <w:tc>
          <w:tcPr>
            <w:tcW w:type="dxa" w:w="794"/>
            <w:vAlign w:val="top"/>
            <w:shd w:fill="163E50"/>
          </w:tcPr>
          <w:p>
            <w:pPr>
              <w:spacing w:after="80" w:before="60" w:line="252" w:lineRule="auto"/>
            </w:pPr>
            <w:r>
              <w:rPr>
                <w:b/>
                <w:color w:val="FFFFFF"/>
                <w:sz w:val="16"/>
              </w:rPr>
              <w:t>Путей</w:t>
            </w:r>
          </w:p>
        </w:tc>
        <w:tc>
          <w:tcPr>
            <w:tcW w:type="dxa" w:w="5613"/>
            <w:vAlign w:val="top"/>
            <w:shd w:fill="163E50"/>
          </w:tcPr>
          <w:p>
            <w:pPr>
              <w:spacing w:after="80" w:before="60" w:line="252" w:lineRule="auto"/>
            </w:pPr>
            <w:r>
              <w:rPr>
                <w:b/>
                <w:color w:val="FFFFFF"/>
                <w:sz w:val="18"/>
              </w:rPr>
              <w:t>Состав</w:t>
            </w:r>
          </w:p>
        </w:tc>
      </w:tr>
      <w:tr>
        <w:trPr>
          <w:cantSplit/>
        </w:trPr>
        <w:tc>
          <w:tcPr>
            <w:tcW w:type="dxa" w:w="3231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core</w:t>
            </w:r>
          </w:p>
        </w:tc>
        <w:tc>
          <w:tcPr>
            <w:tcW w:type="dxa" w:w="794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14</w:t>
            </w:r>
          </w:p>
        </w:tc>
        <w:tc>
          <w:tcPr>
            <w:tcW w:type="dxa" w:w="5613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Saddanīti, Калъяни, Traiphūmikathā, Phra Bang, эпиграфика и Myazedi.</w:t>
            </w:r>
          </w:p>
        </w:tc>
      </w:tr>
      <w:tr>
        <w:trPr>
          <w:cantSplit/>
        </w:trPr>
        <w:tc>
          <w:tcPr>
            <w:tcW w:type="dxa" w:w="3231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same_corpus_or_tradition</w:t>
            </w:r>
          </w:p>
        </w:tc>
        <w:tc>
          <w:tcPr>
            <w:tcW w:type="dxa" w:w="794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23</w:t>
            </w:r>
          </w:p>
        </w:tc>
        <w:tc>
          <w:tcPr>
            <w:tcW w:type="dxa" w:w="5613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Учебные, космологические, хроникальные и повествовательные родственники.</w:t>
            </w:r>
          </w:p>
        </w:tc>
      </w:tr>
      <w:tr>
        <w:trPr>
          <w:cantSplit/>
        </w:trPr>
        <w:tc>
          <w:tcPr>
            <w:tcW w:type="dxa" w:w="3231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antecedent</w:t>
            </w:r>
          </w:p>
        </w:tc>
        <w:tc>
          <w:tcPr>
            <w:tcW w:type="dxa" w:w="794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10</w:t>
            </w:r>
          </w:p>
        </w:tc>
        <w:tc>
          <w:tcPr>
            <w:tcW w:type="dxa" w:w="5613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Канонический/комментаторский вход, ранние хроники, Kaccāyana, K.1355, Vessantara.</w:t>
            </w:r>
          </w:p>
        </w:tc>
      </w:tr>
      <w:tr>
        <w:trPr>
          <w:cantSplit/>
        </w:trPr>
        <w:tc>
          <w:tcPr>
            <w:tcW w:type="dxa" w:w="3231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continuation</w:t>
            </w:r>
          </w:p>
        </w:tc>
        <w:tc>
          <w:tcPr>
            <w:tcW w:type="dxa" w:w="794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5</w:t>
            </w:r>
          </w:p>
        </w:tc>
        <w:tc>
          <w:tcPr>
            <w:tcW w:type="dxa" w:w="5613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Продолжения хроник, Traiphum и кхмерского эпиграфического письма.</w:t>
            </w:r>
          </w:p>
        </w:tc>
      </w:tr>
      <w:tr>
        <w:trPr>
          <w:cantSplit/>
        </w:trPr>
        <w:tc>
          <w:tcPr>
            <w:tcW w:type="dxa" w:w="3231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commentary_or_reception</w:t>
            </w:r>
          </w:p>
        </w:tc>
        <w:tc>
          <w:tcPr>
            <w:tcW w:type="dxa" w:w="794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6</w:t>
            </w:r>
          </w:p>
        </w:tc>
        <w:tc>
          <w:tcPr>
            <w:tcW w:type="dxa" w:w="5613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Полемика, Sāsanavaṃsa, Phra Mālai, современное руководство BMC.</w:t>
            </w:r>
          </w:p>
        </w:tc>
      </w:tr>
      <w:tr>
        <w:trPr>
          <w:cantSplit/>
        </w:trPr>
        <w:tc>
          <w:tcPr>
            <w:tcW w:type="dxa" w:w="3231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transmission_or_preservation</w:t>
            </w:r>
          </w:p>
        </w:tc>
        <w:tc>
          <w:tcPr>
            <w:tcW w:type="dxa" w:w="794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10</w:t>
            </w:r>
          </w:p>
        </w:tc>
        <w:tc>
          <w:tcPr>
            <w:tcW w:type="dxa" w:w="5613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Переводы, поздние рукописи и тексты сохранения.</w:t>
            </w:r>
          </w:p>
        </w:tc>
      </w:tr>
      <w:tr>
        <w:trPr>
          <w:cantSplit/>
        </w:trPr>
        <w:tc>
          <w:tcPr>
            <w:tcW w:type="dxa" w:w="3231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infrastructure / secondary_navigation</w:t>
            </w:r>
          </w:p>
        </w:tc>
        <w:tc>
          <w:tcPr>
            <w:tcW w:type="dxa" w:w="794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3 / 3</w:t>
            </w:r>
          </w:p>
        </w:tc>
        <w:tc>
          <w:tcPr>
            <w:tcW w:type="dxa" w:w="5613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Каталоги и необходимые указатели; не первичные произведения.</w:t>
            </w:r>
          </w:p>
        </w:tc>
      </w:tr>
    </w:tbl>
    <w:p>
      <w:r>
        <w:t>Теги supporting и boundary не добавлялись ради заполнения всех категорий. Пограничная визуальная документация Пагана пока в gaps. 25 пробелов — не 25 отсутствующих произведений, а 25 отдельных вопросов о доступе, составе, версии, связи или правах. Это исследовательский срез, не исчерпывающий каталог всей традиции.</w:t>
      </w:r>
    </w:p>
    <w:p>
      <w:pPr>
        <w:pStyle w:val="Heading1"/>
      </w:pPr>
      <w:r>
        <w:t>3. Лучшие пути доступа</w:t>
      </w:r>
    </w:p>
    <w:p>
      <w:pPr>
        <w:pStyle w:val="Heading2"/>
      </w:pPr>
      <w:r>
        <w:t>Пали: грамматика и учебная библиотека</w:t>
      </w:r>
    </w:p>
    <w:p>
      <w:r>
        <w:t xml:space="preserve">Для Saddanīti лучший проверенный бесплатный скан — том I Padamālā, Smith 1928, на Internet Archive с институциональным происхождением. Он не даёт всего многотомного труда. Полный научный комплект доступен как покупка PTS — подтверждённый маршрут к остальному изданию, пока остальные свободные тома не проверены. Современный открытый полный перевод Saddanīti в этом запуске не установлен. </w:t>
      </w:r>
      <w:hyperlink r:id="rId15">
        <w:r>
          <w:rPr>
            <w:color w:val="246276"/>
            <w:u w:val="single"/>
          </w:rPr>
          <w:t>[R002]</w:t>
        </w:r>
      </w:hyperlink>
      <w:r>
        <w:t xml:space="preserve"> </w:t>
      </w:r>
      <w:hyperlink r:id="rId14">
        <w:r>
          <w:rPr>
            <w:color w:val="246276"/>
            <w:u w:val="single"/>
          </w:rPr>
          <w:t>[R001]</w:t>
        </w:r>
      </w:hyperlink>
      <w:r/>
    </w:p>
    <w:p>
      <w:r>
        <w:t xml:space="preserve">Для полнотекстового поиска удобнее конкретные HTML-транскрипции GRETIL: Kaccāyanasuttaniddesa и тексты грамматического круга. В карточках сохранены редакторы, печатная основа и ограничения качества; поисковая романизация не названа новой критической редакцией. Надёжный современный платный вход в раннюю Kaccāyana-линию — Pind 2013. Для обнаружения остальных текстов полезны справочник Ñāṇatusita и библиография Central Siam; последняя оставлена в реестре, хотя она не бесплатна. </w:t>
      </w:r>
      <w:hyperlink r:id="rId24">
        <w:r>
          <w:rPr>
            <w:color w:val="246276"/>
            <w:u w:val="single"/>
          </w:rPr>
          <w:t>[R017]</w:t>
        </w:r>
      </w:hyperlink>
      <w:r>
        <w:t xml:space="preserve"> </w:t>
      </w:r>
      <w:hyperlink r:id="rId25">
        <w:r>
          <w:rPr>
            <w:color w:val="246276"/>
            <w:u w:val="single"/>
          </w:rPr>
          <w:t>[R018]</w:t>
        </w:r>
      </w:hyperlink>
      <w:r>
        <w:t xml:space="preserve"> </w:t>
      </w:r>
      <w:hyperlink r:id="rId26">
        <w:r>
          <w:rPr>
            <w:color w:val="246276"/>
            <w:u w:val="single"/>
          </w:rPr>
          <w:t>[R019]</w:t>
        </w:r>
      </w:hyperlink>
      <w:r>
        <w:t xml:space="preserve"> </w:t>
      </w:r>
      <w:hyperlink r:id="rId33">
        <w:r>
          <w:rPr>
            <w:color w:val="246276"/>
            <w:u w:val="single"/>
          </w:rPr>
          <w:t>[R071]</w:t>
        </w:r>
      </w:hyperlink>
      <w:r>
        <w:t xml:space="preserve"> </w:t>
      </w:r>
      <w:hyperlink r:id="rId74">
        <w:r>
          <w:rPr>
            <w:color w:val="246276"/>
            <w:u w:val="single"/>
          </w:rPr>
          <w:t>[R073]</w:t>
        </w:r>
      </w:hyperlink>
      <w:r>
        <w:t xml:space="preserve"> </w:t>
      </w:r>
      <w:hyperlink r:id="rId75">
        <w:r>
          <w:rPr>
            <w:color w:val="246276"/>
            <w:u w:val="single"/>
          </w:rPr>
          <w:t>[R074]</w:t>
        </w:r>
      </w:hyperlink>
      <w:r/>
    </w:p>
    <w:p>
      <w:pPr>
        <w:pStyle w:val="Heading2"/>
      </w:pPr>
      <w:r>
        <w:t>Виная, процедуры сангхи и Калъяни</w:t>
      </w:r>
    </w:p>
    <w:p>
      <w:r>
        <w:t xml:space="preserve">Наиболее свободный по правам проверенный современный английский маршрут к Винае — перевод Brahmāli в официальном репозитории SuttaCentral: файлы издания и применимая CC0-политика проверены. Полный большой HTML не удалось разобрать из-за размера; это отражено в verification_status. Для научного перевода Horner есть шесть PDF, перечисленных Ancient Buddhist Texts, и официальное разрешение PTS CC BY-NC 3.0. Один пробный PDF превысил лимит инструмента; наличие ссылки не названо постраничной сверкой всего тома. </w:t>
      </w:r>
      <w:hyperlink r:id="rId63">
        <w:r>
          <w:rPr>
            <w:color w:val="246276"/>
            <w:u w:val="single"/>
          </w:rPr>
          <w:t>[R034]</w:t>
        </w:r>
      </w:hyperlink>
      <w:r>
        <w:t xml:space="preserve"> </w:t>
      </w:r>
      <w:hyperlink r:id="rId76">
        <w:r>
          <w:rPr>
            <w:color w:val="246276"/>
            <w:u w:val="single"/>
          </w:rPr>
          <w:t>[L06]</w:t>
        </w:r>
      </w:hyperlink>
      <w:r>
        <w:t xml:space="preserve"> </w:t>
      </w:r>
      <w:hyperlink r:id="rId62">
        <w:r>
          <w:rPr>
            <w:color w:val="246276"/>
            <w:u w:val="single"/>
          </w:rPr>
          <w:t>[R033]</w:t>
        </w:r>
      </w:hyperlink>
      <w:r>
        <w:t xml:space="preserve"> </w:t>
      </w:r>
      <w:hyperlink r:id="rId12">
        <w:r>
          <w:rPr>
            <w:color w:val="246276"/>
            <w:u w:val="single"/>
          </w:rPr>
          <w:t>[L01]</w:t>
        </w:r>
      </w:hyperlink>
      <w:r/>
    </w:p>
    <w:p>
      <w:r>
        <w:t xml:space="preserve">Оригинальный палийский слой нужно выбирать отдельно. Access to Insight предоставляет конкретный набор SLTP, но по этой странице не обещан полный Vinaya/Abhidhamma. Для комментария особенно полезен Samantapāsādikā V: палийская транскрипция к Mahāvagga I–X с CC BY-SA 4.0. Это лучший здесь машиночитаемый лицензированный нормативный слой, но лишь один том комментария. The Buddhist Monastic Code I–II — современное бесплатное руководство по нормам и процедурам с CC BY-NC 4.0, а не средневековый источник. </w:t>
      </w:r>
      <w:hyperlink r:id="rId58">
        <w:r>
          <w:rPr>
            <w:color w:val="246276"/>
            <w:u w:val="single"/>
          </w:rPr>
          <w:t>[R005]</w:t>
        </w:r>
      </w:hyperlink>
      <w:r>
        <w:t xml:space="preserve"> </w:t>
      </w:r>
      <w:hyperlink r:id="rId11">
        <w:r>
          <w:rPr>
            <w:color w:val="246276"/>
            <w:u w:val="single"/>
          </w:rPr>
          <w:t>[R030]</w:t>
        </w:r>
      </w:hyperlink>
      <w:r>
        <w:t xml:space="preserve"> </w:t>
      </w:r>
      <w:hyperlink r:id="rId77">
        <w:r>
          <w:rPr>
            <w:color w:val="246276"/>
            <w:u w:val="single"/>
          </w:rPr>
          <w:t>[R035]</w:t>
        </w:r>
      </w:hyperlink>
      <w:r/>
    </w:p>
    <w:p>
      <w:r>
        <w:t xml:space="preserve">Для Калъяни лучший сразу читаемый и скачиваемый исторический вход — Taw Sein Ko 1892. Cornell-экземпляр и DLI/ASI-экземпляр оставлены отдельно, поскольку различаются происхождение и цифровая подача. Это старое научное издание, не современная фиксация всех надписей; полный монский текст и эстампажи остаются G006. Старую палийско-английскую публикацию нельзя выдавать за исчерпывающую двуязычную цифровую редакцию комплекса. </w:t>
      </w:r>
      <w:hyperlink r:id="rId19">
        <w:r>
          <w:rPr>
            <w:color w:val="246276"/>
            <w:u w:val="single"/>
          </w:rPr>
          <w:t>[R031]</w:t>
        </w:r>
      </w:hyperlink>
      <w:r>
        <w:t xml:space="preserve"> </w:t>
      </w:r>
      <w:hyperlink r:id="rId20">
        <w:r>
          <w:rPr>
            <w:color w:val="246276"/>
            <w:u w:val="single"/>
          </w:rPr>
          <w:t>[R032]</w:t>
        </w:r>
      </w:hyperlink>
      <w:r/>
    </w:p>
    <w:p>
      <w:r>
        <w:t xml:space="preserve">Для материального слоя Kammavācā особенно пригодно Wellcome MS Burmese-Pāli 76: проверены карточка, PDF и образец изображения; объект состоит из трёх фрагментарных частей. Public Domain Mark относится к этому цифровому объекту. Vinayasāra BL и соседний сборник пока годятся для библиографических карточек: указанное число TIFF ещё не даёт ToS факсимиле. </w:t>
      </w:r>
      <w:hyperlink r:id="rId78">
        <w:r>
          <w:rPr>
            <w:color w:val="246276"/>
            <w:u w:val="single"/>
          </w:rPr>
          <w:t>[R044]</w:t>
        </w:r>
      </w:hyperlink>
      <w:r>
        <w:t xml:space="preserve"> </w:t>
      </w:r>
      <w:hyperlink r:id="rId17">
        <w:r>
          <w:rPr>
            <w:color w:val="246276"/>
            <w:u w:val="single"/>
          </w:rPr>
          <w:t>[R006]</w:t>
        </w:r>
      </w:hyperlink>
      <w:r>
        <w:t xml:space="preserve"> </w:t>
      </w:r>
      <w:hyperlink r:id="rId18">
        <w:r>
          <w:rPr>
            <w:color w:val="246276"/>
            <w:u w:val="single"/>
          </w:rPr>
          <w:t>[R007]</w:t>
        </w:r>
      </w:hyperlink>
      <w:r/>
    </w:p>
    <w:p>
      <w:pPr>
        <w:pStyle w:val="Heading2"/>
      </w:pPr>
      <w:r>
        <w:t>Traiphūmikathā и Сукхотай</w:t>
      </w:r>
    </w:p>
    <w:p>
      <w:r>
        <w:t xml:space="preserve">Тайские издания 1960 и 1982 подтверждены Fine Arts Department. Это проверенные библиографические входы к соответствующим версиям, но не бесплатное полное чтение. Английский Three Worlds According to King Ruang, Reynolds/Reynolds, 1982, предлагается через Open Library с кнопкой Borrow и входом в аккаунт. Реальная выдача, очередь, региональная доступность и условия после входа не проверены; считать книгу свободной или реально выданной нельзя. </w:t>
      </w:r>
      <w:hyperlink r:id="rId21">
        <w:r>
          <w:rPr>
            <w:color w:val="246276"/>
            <w:u w:val="single"/>
          </w:rPr>
          <w:t>[R052]</w:t>
        </w:r>
      </w:hyperlink>
      <w:r>
        <w:t xml:space="preserve"> </w:t>
      </w:r>
      <w:hyperlink r:id="rId22">
        <w:r>
          <w:rPr>
            <w:color w:val="246276"/>
            <w:u w:val="single"/>
          </w:rPr>
          <w:t>[R053]</w:t>
        </w:r>
      </w:hyperlink>
      <w:r>
        <w:t xml:space="preserve"> </w:t>
      </w:r>
      <w:hyperlink r:id="rId23">
        <w:r>
          <w:rPr>
            <w:color w:val="246276"/>
            <w:u w:val="single"/>
          </w:rPr>
          <w:t>[R054]</w:t>
        </w:r>
      </w:hyperlink>
      <w:r/>
    </w:p>
    <w:p>
      <w:r>
        <w:t xml:space="preserve">Чистого полного тайского текста для собственного перевода здесь пока нет. Поздняя Traiphūmilokavinicchayakathā имеет официальный каталог второго тома из трёх, но это отдельная компиляция. Для эпиграфического контекста лучше начать с SAC: Wat Si Chum № 2 и Nakhon Chum № 3 дают сведения, текстовые представления и изображения конкретных надписей. Они полезнее общей страницы проекта, но не покрывают весь Сукхотай. </w:t>
      </w:r>
      <w:hyperlink r:id="rId52">
        <w:r>
          <w:rPr>
            <w:color w:val="246276"/>
            <w:u w:val="single"/>
          </w:rPr>
          <w:t>[R063]</w:t>
        </w:r>
      </w:hyperlink>
      <w:r>
        <w:t xml:space="preserve"> </w:t>
      </w:r>
      <w:hyperlink r:id="rId79">
        <w:r>
          <w:rPr>
            <w:color w:val="246276"/>
            <w:u w:val="single"/>
          </w:rPr>
          <w:t>[R046]</w:t>
        </w:r>
      </w:hyperlink>
      <w:r>
        <w:t xml:space="preserve"> </w:t>
      </w:r>
      <w:hyperlink r:id="rId80">
        <w:r>
          <w:rPr>
            <w:color w:val="246276"/>
            <w:u w:val="single"/>
          </w:rPr>
          <w:t>[R045]</w:t>
        </w:r>
      </w:hyperlink>
      <w:r/>
    </w:p>
    <w:p>
      <w:pPr>
        <w:pStyle w:val="Heading2"/>
      </w:pPr>
      <w:r>
        <w:t>Ланна и Лаос: хроники, merit-тексты и изображения</w:t>
      </w:r>
    </w:p>
    <w:p>
      <w:r>
        <w:t xml:space="preserve">Для Jinakālamālī найдены отдельные официальные маршруты к палийскому изданию и английскому Epochs of the Conqueror; оба — покупка. Для Cāmadevīvaṃsa доступна авторизованная карточка электронного The Legend of Queen Cāma, Swearer/Premchit, с образцом и покупкой. Tamnan Mūlasāsanā есть в FAD, но полнотекстовый вход связан с авторизацией и не проверен; запись поэтому не названа free_full_read. </w:t>
      </w:r>
      <w:hyperlink r:id="rId42">
        <w:r>
          <w:rPr>
            <w:color w:val="246276"/>
            <w:u w:val="single"/>
          </w:rPr>
          <w:t>[R038]</w:t>
        </w:r>
      </w:hyperlink>
      <w:r>
        <w:t xml:space="preserve"> </w:t>
      </w:r>
      <w:hyperlink r:id="rId68">
        <w:r>
          <w:rPr>
            <w:color w:val="246276"/>
            <w:u w:val="single"/>
          </w:rPr>
          <w:t>[R039]</w:t>
        </w:r>
      </w:hyperlink>
      <w:r>
        <w:t xml:space="preserve"> </w:t>
      </w:r>
      <w:hyperlink r:id="rId49">
        <w:r>
          <w:rPr>
            <w:color w:val="246276"/>
            <w:u w:val="single"/>
          </w:rPr>
          <w:t>[R055]</w:t>
        </w:r>
      </w:hyperlink>
      <w:r>
        <w:t xml:space="preserve"> </w:t>
      </w:r>
      <w:hyperlink r:id="rId51">
        <w:r>
          <w:rPr>
            <w:color w:val="246276"/>
            <w:u w:val="single"/>
          </w:rPr>
          <w:t>[R062]</w:t>
        </w:r>
      </w:hyperlink>
      <w:r/>
    </w:p>
    <w:p>
      <w:r>
        <w:t xml:space="preserve">Полезны три предметные EFEO-страницы tamnan: Takong Hongsawadi, Phra Non Khon Muang и Wat Phra Kaeo Don Tao. Они содержат описание, инципит/эксплицит и галереи поздних копий; полная сохранность и вся последовательность изображений не проверялись. Сильный факсимильный маршрут — Phra Mālai в Library of Congress: доступен конкретный палийско-тайский свидетель, а не все национальные версии. Палийская редакция Denis и английский перевод Collins в JPTS 1993 дают бесплатный научный текст, но иной слой и без установленной открытой лицензии перераспространения. </w:t>
      </w:r>
      <w:hyperlink r:id="rId43">
        <w:r>
          <w:rPr>
            <w:color w:val="246276"/>
            <w:u w:val="single"/>
          </w:rPr>
          <w:t>[R041]</w:t>
        </w:r>
      </w:hyperlink>
      <w:r>
        <w:t xml:space="preserve"> </w:t>
      </w:r>
      <w:hyperlink r:id="rId44">
        <w:r>
          <w:rPr>
            <w:color w:val="246276"/>
            <w:u w:val="single"/>
          </w:rPr>
          <w:t>[R042]</w:t>
        </w:r>
      </w:hyperlink>
      <w:r>
        <w:t xml:space="preserve"> </w:t>
      </w:r>
      <w:hyperlink r:id="rId45">
        <w:r>
          <w:rPr>
            <w:color w:val="246276"/>
            <w:u w:val="single"/>
          </w:rPr>
          <w:t>[R043]</w:t>
        </w:r>
      </w:hyperlink>
      <w:r>
        <w:t xml:space="preserve"> </w:t>
      </w:r>
      <w:hyperlink r:id="rId81">
        <w:r>
          <w:rPr>
            <w:color w:val="246276"/>
            <w:u w:val="single"/>
          </w:rPr>
          <w:t>[R040]</w:t>
        </w:r>
      </w:hyperlink>
      <w:r>
        <w:t xml:space="preserve"> </w:t>
      </w:r>
      <w:hyperlink r:id="rId46">
        <w:r>
          <w:rPr>
            <w:color w:val="246276"/>
            <w:u w:val="single"/>
          </w:rPr>
          <w:t>[R047]</w:t>
        </w:r>
      </w:hyperlink>
      <w:r>
        <w:t xml:space="preserve"> </w:t>
      </w:r>
      <w:hyperlink r:id="rId47">
        <w:r>
          <w:rPr>
            <w:color w:val="246276"/>
            <w:u w:val="single"/>
          </w:rPr>
          <w:t>[R048]</w:t>
        </w:r>
      </w:hyperlink>
      <w:r/>
    </w:p>
    <w:p>
      <w:r>
        <w:t xml:space="preserve">Для ānisaṃsa найден составной свидетель EFEO PALI 75: наличие текста о заслуге письма установлено на уровне каталога. Для лаосского Phra Bang — карточка EFEO PALI 137. Перспективные крупные входы DLNTM и DLLM исследованы до официальных описаний и условий, но предметный поиск был закрыт Anubis/Access Denied. Они не заменяют недостающих item-level записей и не считаются найденным полным лаосским корпусом. </w:t>
      </w:r>
      <w:hyperlink r:id="rId54">
        <w:r>
          <w:rPr>
            <w:color w:val="246276"/>
            <w:u w:val="single"/>
          </w:rPr>
          <w:t>[R065]</w:t>
        </w:r>
      </w:hyperlink>
      <w:r>
        <w:t xml:space="preserve"> </w:t>
      </w:r>
      <w:hyperlink r:id="rId16">
        <w:r>
          <w:rPr>
            <w:color w:val="246276"/>
            <w:u w:val="single"/>
          </w:rPr>
          <w:t>[R003]</w:t>
        </w:r>
      </w:hyperlink>
      <w:r>
        <w:t xml:space="preserve"> </w:t>
      </w:r>
      <w:hyperlink r:id="rId82">
        <w:r>
          <w:rPr>
            <w:color w:val="246276"/>
            <w:u w:val="single"/>
          </w:rPr>
          <w:t>[R036]</w:t>
        </w:r>
      </w:hyperlink>
      <w:r>
        <w:t xml:space="preserve"> </w:t>
      </w:r>
      <w:hyperlink r:id="rId83">
        <w:r>
          <w:rPr>
            <w:color w:val="246276"/>
            <w:u w:val="single"/>
          </w:rPr>
          <w:t>[R037]</w:t>
        </w:r>
      </w:hyperlink>
      <w:r/>
    </w:p>
    <w:p>
      <w:pPr>
        <w:pStyle w:val="Heading2"/>
      </w:pPr>
      <w:r>
        <w:t>Камбоджа и Паган: надписи и визуальная документация</w:t>
      </w:r>
    </w:p>
    <w:p>
      <w:r>
        <w:t xml:space="preserve">Для раннего K.1355 лучший проверенный научный цифровой вход — открытое издание Peter Skilling в Journal of the Siam Society, включающее текст, перевод и фотографии. Для средневекового K.754 — публикация Cœdès на Persée, идентифицированная также по современной эпиграфической работе. Продолжение кхмерского письма представлено двумя публикациями IMA. Здесь не заявлена открытая лицензия фотографий; показанная страница статьи не равна доказанному скачиванию всех компонентов. </w:t>
      </w:r>
      <w:hyperlink r:id="rId64">
        <w:r>
          <w:rPr>
            <w:color w:val="246276"/>
            <w:u w:val="single"/>
          </w:rPr>
          <w:t>[R056]</w:t>
        </w:r>
      </w:hyperlink>
      <w:r>
        <w:t xml:space="preserve"> </w:t>
      </w:r>
      <w:hyperlink r:id="rId84">
        <w:r>
          <w:rPr>
            <w:color w:val="246276"/>
            <w:u w:val="single"/>
          </w:rPr>
          <w:t>[R057]</w:t>
        </w:r>
      </w:hyperlink>
      <w:r>
        <w:t xml:space="preserve"> </w:t>
      </w:r>
      <w:hyperlink r:id="rId72">
        <w:r>
          <w:rPr>
            <w:color w:val="246276"/>
            <w:u w:val="single"/>
          </w:rPr>
          <w:t>[R058]</w:t>
        </w:r>
      </w:hyperlink>
      <w:r>
        <w:t xml:space="preserve"> </w:t>
      </w:r>
      <w:hyperlink r:id="rId71">
        <w:r>
          <w:rPr>
            <w:color w:val="246276"/>
            <w:u w:val="single"/>
          </w:rPr>
          <w:t>[R059]</w:t>
        </w:r>
      </w:hyperlink>
      <w:r/>
    </w:p>
    <w:p>
      <w:r>
        <w:t xml:space="preserve">Для Myazedi UNESCO даёт идентификацию четырёхъязычного памятника и ограниченное изображение, а депозиты Richard Miles — наборы RTI/фотографий PYU008 и PYU007. Это два отдельных физических/съёмочных объекта: наборы примерно 1,8 и 14,7 ГБ не скачивались. Провенанс подтверждён проектным депозитом, но разрешение зеркалирования не выведено из размещения на Zenodo. Для паганских настенных циклов остаётся G008 с конкретным номером EFEO_PICP05825. </w:t>
      </w:r>
      <w:hyperlink r:id="rId55">
        <w:r>
          <w:rPr>
            <w:color w:val="246276"/>
            <w:u w:val="single"/>
          </w:rPr>
          <w:t>[R067]</w:t>
        </w:r>
      </w:hyperlink>
      <w:r>
        <w:t xml:space="preserve"> </w:t>
      </w:r>
      <w:hyperlink r:id="rId56">
        <w:r>
          <w:rPr>
            <w:color w:val="246276"/>
            <w:u w:val="single"/>
          </w:rPr>
          <w:t>[R068]</w:t>
        </w:r>
      </w:hyperlink>
      <w:r>
        <w:t xml:space="preserve"> </w:t>
      </w:r>
      <w:hyperlink r:id="rId57">
        <w:r>
          <w:rPr>
            <w:color w:val="246276"/>
            <w:u w:val="single"/>
          </w:rPr>
          <w:t>[R069]</w:t>
        </w:r>
      </w:hyperlink>
      <w:r/>
    </w:p>
    <w:p>
      <w:pPr>
        <w:pStyle w:val="Heading2"/>
      </w:pPr>
      <w:r>
        <w:t>Джатаки и поздняя историческая память</w:t>
      </w:r>
    </w:p>
    <w:p>
      <w:r>
        <w:t xml:space="preserve">Paññāsajātaka сохранена покупными маршрутами к двум томам палийского Zimmè Jātaka и английским Apocryphal Birth Stories. Полнота относится к этой бирманской редакции, а не ко всем тайским/лаосским/кхмерским версиям «пятидесяти джатак». Для Ja 547 бесплатен современный HTML Ānandajoti, основанный на старой переводной традиции, но переработанный; научный платный вариант — Cone/Gombrich. </w:t>
      </w:r>
      <w:hyperlink r:id="rId50">
        <w:r>
          <w:rPr>
            <w:color w:val="246276"/>
            <w:u w:val="single"/>
          </w:rPr>
          <w:t>[R060]</w:t>
        </w:r>
      </w:hyperlink>
      <w:r>
        <w:t xml:space="preserve"> </w:t>
      </w:r>
      <w:hyperlink r:id="rId85">
        <w:r>
          <w:rPr>
            <w:color w:val="246276"/>
            <w:u w:val="single"/>
          </w:rPr>
          <w:t>[R061]</w:t>
        </w:r>
      </w:hyperlink>
      <w:r>
        <w:t xml:space="preserve"> </w:t>
      </w:r>
      <w:hyperlink r:id="rId65">
        <w:r>
          <w:rPr>
            <w:color w:val="246276"/>
            <w:u w:val="single"/>
          </w:rPr>
          <w:t>[R070]</w:t>
        </w:r>
      </w:hyperlink>
      <w:r>
        <w:t xml:space="preserve"> </w:t>
      </w:r>
      <w:hyperlink r:id="rId66">
        <w:r>
          <w:rPr>
            <w:color w:val="246276"/>
            <w:u w:val="single"/>
          </w:rPr>
          <w:t>[R072]</w:t>
        </w:r>
      </w:hyperlink>
      <w:r/>
    </w:p>
    <w:p>
      <w:r>
        <w:t xml:space="preserve">Sāsanavaṃsa имеет бесплатный исторический палийский скан Bode 1897 и русский перевод отдельных глав в официальном PDF ИВР РАН, 1993. Русский файл частичный, с сопутствующими страницами выпуска: это не перевод всей книги. Старый скан и защищённый русский перевод учтены раздельно. </w:t>
      </w:r>
      <w:hyperlink r:id="rId69">
        <w:r>
          <w:rPr>
            <w:color w:val="246276"/>
            <w:u w:val="single"/>
          </w:rPr>
          <w:t>[R050]</w:t>
        </w:r>
      </w:hyperlink>
      <w:r>
        <w:t xml:space="preserve"> </w:t>
      </w:r>
      <w:hyperlink r:id="rId70">
        <w:r>
          <w:rPr>
            <w:color w:val="246276"/>
            <w:u w:val="single"/>
          </w:rPr>
          <w:t>[R051]</w:t>
        </w:r>
      </w:hyperlink>
      <w:r/>
    </w:p>
    <w:p>
      <w:pPr>
        <w:pStyle w:val="Heading1"/>
      </w:pPr>
      <w:r>
        <w:t>4. Карта прав и практического использования</w:t>
      </w:r>
    </w:p>
    <w:p>
      <w:r>
        <w:t>Ни один положительный тег не действует шире rights_scope и coverage своей записи. LINK_OK означает внешний указатель; FREE_READ/FREE_DOWNLOAD — режим доступа, не разрешение публикации копии. LOCAL_RESEARCH_COPY относится только к допустимому открытому маршруту и не включает обход авторизации. RIGHTS_REVIEW_REQUIRED блокирует автоматическое расширение разрешений на другие версии, тома, фотографии и компоненты.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72"/>
        <w:gridCol w:w="3798"/>
      </w:tblGrid>
      <w:tr>
        <w:trPr>
          <w:tblHeader/>
          <w:cantSplit/>
        </w:trPr>
        <w:tc>
          <w:tcPr>
            <w:tcW w:type="dxa" w:w="2268"/>
            <w:vAlign w:val="top"/>
            <w:shd w:fill="163E50"/>
          </w:tcPr>
          <w:p>
            <w:pPr>
              <w:spacing w:after="80" w:before="60" w:line="252" w:lineRule="auto"/>
            </w:pPr>
            <w:r>
              <w:rPr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3572"/>
            <w:vAlign w:val="top"/>
            <w:shd w:fill="163E50"/>
          </w:tcPr>
          <w:p>
            <w:pPr>
              <w:spacing w:after="80" w:before="60" w:line="252" w:lineRule="auto"/>
            </w:pPr>
            <w:r>
              <w:rPr>
                <w:b/>
                <w:color w:val="FFFFFF"/>
                <w:sz w:val="18"/>
              </w:rPr>
              <w:t>Практическая возможность</w:t>
            </w:r>
          </w:p>
        </w:tc>
        <w:tc>
          <w:tcPr>
            <w:tcW w:type="dxa" w:w="3798"/>
            <w:vAlign w:val="top"/>
            <w:shd w:fill="163E50"/>
          </w:tcPr>
          <w:p>
            <w:pPr>
              <w:spacing w:after="80" w:before="60" w:line="252" w:lineRule="auto"/>
            </w:pPr>
            <w:r>
              <w:rPr>
                <w:b/>
                <w:color w:val="FFFFFF"/>
                <w:sz w:val="18"/>
              </w:rPr>
              <w:t>Граница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SLTP на ATI; Brahmāli CC0</w:t>
            </w:r>
          </w:p>
        </w:tc>
        <w:tc>
          <w:tcPr>
            <w:tcW w:type="dxa" w:w="3572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 xml:space="preserve">Потенциальное зеркало и цифровая обработка открытого текста. </w:t>
            </w:r>
            <w:hyperlink r:id="rId58">
              <w:r>
                <w:rPr>
                  <w:color w:val="246276"/>
                  <w:u w:val="single"/>
                </w:rPr>
                <w:t>[R005]</w:t>
              </w:r>
            </w:hyperlink>
            <w:r>
              <w:rPr>
                <w:b w:val="0"/>
                <w:color w:val="263746"/>
                <w:sz w:val="18"/>
              </w:rPr>
              <w:t xml:space="preserve"> </w:t>
            </w:r>
            <w:hyperlink r:id="rId63">
              <w:r>
                <w:rPr>
                  <w:color w:val="246276"/>
                  <w:u w:val="single"/>
                </w:rPr>
                <w:t>[R034]</w:t>
              </w:r>
            </w:hyperlink>
            <w:r>
              <w:rPr>
                <w:b w:val="0"/>
                <w:color w:val="263746"/>
                <w:sz w:val="18"/>
              </w:rPr>
            </w:r>
          </w:p>
        </w:tc>
        <w:tc>
          <w:tcPr>
            <w:tcW w:type="dxa" w:w="3798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SLTP — только перечисленные палийские файлы. CC0 Brahmāli — английский поддерживаемый перевод, не все тексты SuttaCentral.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Samantapāsādikā V</w:t>
            </w:r>
          </w:p>
        </w:tc>
        <w:tc>
          <w:tcPr>
            <w:tcW w:type="dxa" w:w="3572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 xml:space="preserve">Атрибуция, ShareAlike; индекс, embeddings и собственный перевод палийского слоя. </w:t>
            </w:r>
            <w:hyperlink r:id="rId11">
              <w:r>
                <w:rPr>
                  <w:color w:val="246276"/>
                  <w:u w:val="single"/>
                </w:rPr>
                <w:t>[R030]</w:t>
              </w:r>
            </w:hyperlink>
            <w:r>
              <w:rPr>
                <w:b w:val="0"/>
                <w:color w:val="263746"/>
                <w:sz w:val="18"/>
              </w:rPr>
            </w:r>
          </w:p>
        </w:tc>
        <w:tc>
          <w:tcPr>
            <w:tcW w:type="dxa" w:w="3798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Только том V; не сканы и не весь комментарий.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LOC Phra Mālai; Wellcome Kammavācā</w:t>
            </w:r>
          </w:p>
        </w:tc>
        <w:tc>
          <w:tcPr>
            <w:tcW w:type="dxa" w:w="3572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 xml:space="preserve">Повторное использование факсимиле; собственная транскрипция/перевод. </w:t>
            </w:r>
            <w:hyperlink r:id="rId81">
              <w:r>
                <w:rPr>
                  <w:color w:val="246276"/>
                  <w:u w:val="single"/>
                </w:rPr>
                <w:t>[R040]</w:t>
              </w:r>
            </w:hyperlink>
            <w:r>
              <w:rPr>
                <w:b w:val="0"/>
                <w:color w:val="263746"/>
                <w:sz w:val="18"/>
              </w:rPr>
              <w:t xml:space="preserve"> </w:t>
            </w:r>
            <w:hyperlink r:id="rId78">
              <w:r>
                <w:rPr>
                  <w:color w:val="246276"/>
                  <w:u w:val="single"/>
                </w:rPr>
                <w:t>[R044]</w:t>
              </w:r>
            </w:hyperlink>
            <w:r>
              <w:rPr>
                <w:b w:val="0"/>
                <w:color w:val="263746"/>
                <w:sz w:val="18"/>
              </w:rPr>
            </w:r>
          </w:p>
        </w:tc>
        <w:tc>
          <w:tcPr>
            <w:tcW w:type="dxa" w:w="3798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LOC — один свидетель; Wellcome — фрагменты. PDM — маркировка статуса, не лицензия.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Horner; BMC</w:t>
            </w:r>
          </w:p>
        </w:tc>
        <w:tc>
          <w:tcPr>
            <w:tcW w:type="dxa" w:w="3572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 xml:space="preserve">Некоммерческие копии и обработка с атрибуцией и уведомлением. </w:t>
            </w:r>
            <w:hyperlink r:id="rId62">
              <w:r>
                <w:rPr>
                  <w:color w:val="246276"/>
                  <w:u w:val="single"/>
                </w:rPr>
                <w:t>[R033]</w:t>
              </w:r>
            </w:hyperlink>
            <w:r>
              <w:rPr>
                <w:b w:val="0"/>
                <w:color w:val="263746"/>
                <w:sz w:val="18"/>
              </w:rPr>
              <w:t xml:space="preserve"> </w:t>
            </w:r>
            <w:hyperlink r:id="rId77">
              <w:r>
                <w:rPr>
                  <w:color w:val="246276"/>
                  <w:u w:val="single"/>
                </w:rPr>
                <w:t>[R035]</w:t>
              </w:r>
            </w:hyperlink>
            <w:r>
              <w:rPr>
                <w:b w:val="0"/>
                <w:color w:val="263746"/>
                <w:sz w:val="18"/>
              </w:rPr>
            </w:r>
          </w:p>
        </w:tc>
        <w:tc>
          <w:tcPr>
            <w:tcW w:type="dxa" w:w="3798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Horner CC BY-NC 3.0; BMC CC BY-NC 4.0. Дополнения 2014 к PDF Horner отдельно не очищены.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Ñāṇatusita</w:t>
            </w:r>
          </w:p>
        </w:tc>
        <w:tc>
          <w:tcPr>
            <w:tcW w:type="dxa" w:w="3572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 xml:space="preserve">Копия целого неизменённого PDF, включая data sheet. </w:t>
            </w:r>
            <w:hyperlink r:id="rId75">
              <w:r>
                <w:rPr>
                  <w:color w:val="246276"/>
                  <w:u w:val="single"/>
                </w:rPr>
                <w:t>[R074]</w:t>
              </w:r>
            </w:hyperlink>
            <w:r>
              <w:rPr>
                <w:b w:val="0"/>
                <w:color w:val="263746"/>
                <w:sz w:val="18"/>
              </w:rPr>
            </w:r>
          </w:p>
        </w:tc>
        <w:tc>
          <w:tcPr>
            <w:tcW w:type="dxa" w:w="3798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Не разрешение на изменённый OCR, извлечённый публичный текст или перевод справочника.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BL; DLNTM; EFEO</w:t>
            </w:r>
          </w:p>
        </w:tc>
        <w:tc>
          <w:tcPr>
            <w:tcW w:type="dxa" w:w="3572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 xml:space="preserve">BL: CC BY 4.0 для карточек. DLNTM: потенциальный NC-слой после выбора item. EFEO: преимущественно ссылки. </w:t>
            </w:r>
            <w:hyperlink r:id="rId17">
              <w:r>
                <w:rPr>
                  <w:color w:val="246276"/>
                  <w:u w:val="single"/>
                </w:rPr>
                <w:t>[R006]</w:t>
              </w:r>
            </w:hyperlink>
            <w:r>
              <w:rPr>
                <w:b w:val="0"/>
                <w:color w:val="263746"/>
                <w:sz w:val="18"/>
              </w:rPr>
              <w:t xml:space="preserve"> </w:t>
            </w:r>
            <w:hyperlink r:id="rId18">
              <w:r>
                <w:rPr>
                  <w:color w:val="246276"/>
                  <w:u w:val="single"/>
                </w:rPr>
                <w:t>[R007]</w:t>
              </w:r>
            </w:hyperlink>
            <w:r>
              <w:rPr>
                <w:b w:val="0"/>
                <w:color w:val="263746"/>
                <w:sz w:val="18"/>
              </w:rPr>
              <w:t xml:space="preserve"> </w:t>
            </w:r>
            <w:hyperlink r:id="rId82">
              <w:r>
                <w:rPr>
                  <w:color w:val="246276"/>
                  <w:u w:val="single"/>
                </w:rPr>
                <w:t>[R036]</w:t>
              </w:r>
            </w:hyperlink>
            <w:r>
              <w:rPr>
                <w:b w:val="0"/>
                <w:color w:val="263746"/>
                <w:sz w:val="18"/>
              </w:rPr>
              <w:t xml:space="preserve"> </w:t>
            </w:r>
            <w:hyperlink r:id="rId86">
              <w:r>
                <w:rPr>
                  <w:color w:val="246276"/>
                  <w:u w:val="single"/>
                </w:rPr>
                <w:t>[R004]</w:t>
              </w:r>
            </w:hyperlink>
            <w:r>
              <w:rPr>
                <w:b w:val="0"/>
                <w:color w:val="263746"/>
                <w:sz w:val="18"/>
              </w:rPr>
            </w:r>
          </w:p>
        </w:tc>
        <w:tc>
          <w:tcPr>
            <w:tcW w:type="dxa" w:w="3798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Метаданные не изображения; исключения DLNTM обязательны; права EFEO не заменяются соседней CC-лицензией.</w:t>
            </w:r>
          </w:p>
        </w:tc>
      </w:tr>
    </w:tbl>
    <w:p>
      <w:pPr>
        <w:pStyle w:val="Heading2"/>
      </w:pPr>
      <w:r>
        <w:t>Открытые лицензии и некоммерческий слой</w:t>
      </w:r>
    </w:p>
    <w:p>
      <w:r>
        <w:t xml:space="preserve">CC BY-SA 4.0 на Samantapāsādikā позволяет отделить пригодную для ToS транскрипцию от более осторожного режима остальных GRETIL-файлов. Необходимы атрибуция, ссылка на лицензию и обозначение изменений; публикация адаптации должна соблюдать ShareAlike. Индексация и embeddings оценены отдельно от зеркала. Это не утверждение, что любой выпуск модели или производного индекса автоматически удовлетворяет SA: применимость к продукту проверяется по характеру публикуемого материала. </w:t>
      </w:r>
      <w:hyperlink r:id="rId11">
        <w:r>
          <w:rPr>
            <w:color w:val="246276"/>
            <w:u w:val="single"/>
          </w:rPr>
          <w:t>[L02]</w:t>
        </w:r>
      </w:hyperlink>
      <w:r/>
    </w:p>
    <w:p>
      <w:r>
        <w:t xml:space="preserve">PTS открыл отдельные переводы, но не весь каталог. В данном наборе CC BY-NC 3.0 подтверждена для шести томов The Book of the Discipline Horner. Лицензию нельзя переносить на все её переводы или все JPTS: особенно важно не «освободить» таким способом Apocryphal Birth Stories. BMC имеет собственную CC BY-NC 4.0 и авторское пояснение об отсутствии продажи. Некоммерческий режим ToS полезен, но условия атрибуции и лицензирования остаются. </w:t>
      </w:r>
      <w:hyperlink r:id="rId12">
        <w:r>
          <w:rPr>
            <w:color w:val="246276"/>
            <w:u w:val="single"/>
          </w:rPr>
          <w:t>[L01]</w:t>
        </w:r>
      </w:hyperlink>
      <w:r>
        <w:t xml:space="preserve"> </w:t>
      </w:r>
      <w:hyperlink r:id="rId85">
        <w:r>
          <w:rPr>
            <w:color w:val="246276"/>
            <w:u w:val="single"/>
          </w:rPr>
          <w:t>[R061]</w:t>
        </w:r>
      </w:hyperlink>
      <w:r>
        <w:t xml:space="preserve"> </w:t>
      </w:r>
      <w:hyperlink r:id="rId87">
        <w:r>
          <w:rPr>
            <w:color w:val="246276"/>
            <w:u w:val="single"/>
          </w:rPr>
          <w:t>[L07]</w:t>
        </w:r>
      </w:hyperlink>
      <w:r/>
    </w:p>
    <w:p>
      <w:r>
        <w:t xml:space="preserve">DLNTM указывает CC BY-NC 4.0 для соответствующих данных и изображений с исключением традиционной медицины PNTMP. Открыта политика, но не конкретные рукописи: в XLSX оставлены сведения о потенциальной возможности без автоматических MIRROR/OCR/INDEX/EMBEDDINGS-тегов инфраструктурной записи. Лицензия DLNTM не приписана соседней Lao-библиотеке DLLM. </w:t>
      </w:r>
      <w:hyperlink r:id="rId88">
        <w:r>
          <w:rPr>
            <w:color w:val="246276"/>
            <w:u w:val="single"/>
          </w:rPr>
          <w:t>[L05]</w:t>
        </w:r>
      </w:hyperlink>
      <w:r>
        <w:t xml:space="preserve"> </w:t>
      </w:r>
      <w:hyperlink r:id="rId82">
        <w:r>
          <w:rPr>
            <w:color w:val="246276"/>
            <w:u w:val="single"/>
          </w:rPr>
          <w:t>[R036]</w:t>
        </w:r>
      </w:hyperlink>
      <w:r>
        <w:t xml:space="preserve"> </w:t>
      </w:r>
      <w:hyperlink r:id="rId83">
        <w:r>
          <w:rPr>
            <w:color w:val="246276"/>
            <w:u w:val="single"/>
          </w:rPr>
          <w:t>[R037]</w:t>
        </w:r>
      </w:hyperlink>
      <w:r/>
    </w:p>
    <w:p>
      <w:pPr>
        <w:pStyle w:val="Heading2"/>
      </w:pPr>
      <w:r>
        <w:t>Чтение и загрузка без доказанного зеркала</w:t>
      </w:r>
    </w:p>
    <w:p>
      <w:r>
        <w:t xml:space="preserve">К этой группе относятся большинство GRETIL-транскрипций, архивные JPTS, EFEO-галереи и каталоги, SAC, Persée и современные открытые научные статьи. Сохранён полезный путь чтения/скачивания, но возраст палийского оригинала не заменяет прав на редакцию, реконструкцию и фотографию. Покупные PTS/FPLF/SUNY-издания и библиотечный Traiphūmikathā остаются purchase, preview, borrow или ссылкой. </w:t>
      </w:r>
      <w:hyperlink r:id="rId24">
        <w:r>
          <w:rPr>
            <w:color w:val="246276"/>
            <w:u w:val="single"/>
          </w:rPr>
          <w:t>[R017]</w:t>
        </w:r>
      </w:hyperlink>
      <w:r>
        <w:t xml:space="preserve"> </w:t>
      </w:r>
      <w:hyperlink r:id="rId46">
        <w:r>
          <w:rPr>
            <w:color w:val="246276"/>
            <w:u w:val="single"/>
          </w:rPr>
          <w:t>[R047]</w:t>
        </w:r>
      </w:hyperlink>
      <w:r>
        <w:t xml:space="preserve"> </w:t>
      </w:r>
      <w:hyperlink r:id="rId23">
        <w:r>
          <w:rPr>
            <w:color w:val="246276"/>
            <w:u w:val="single"/>
          </w:rPr>
          <w:t>[R054]</w:t>
        </w:r>
      </w:hyperlink>
      <w:r>
        <w:t xml:space="preserve"> </w:t>
      </w:r>
      <w:hyperlink r:id="rId49">
        <w:r>
          <w:rPr>
            <w:color w:val="246276"/>
            <w:u w:val="single"/>
          </w:rPr>
          <w:t>[R055]</w:t>
        </w:r>
      </w:hyperlink>
      <w:r>
        <w:t xml:space="preserve"> </w:t>
      </w:r>
      <w:hyperlink r:id="rId64">
        <w:r>
          <w:rPr>
            <w:color w:val="246276"/>
            <w:u w:val="single"/>
          </w:rPr>
          <w:t>[R056]</w:t>
        </w:r>
      </w:hyperlink>
      <w:r>
        <w:t xml:space="preserve"> </w:t>
      </w:r>
      <w:hyperlink r:id="rId89">
        <w:r>
          <w:rPr>
            <w:color w:val="246276"/>
            <w:u w:val="single"/>
          </w:rPr>
          <w:t>[L08]</w:t>
        </w:r>
      </w:hyperlink>
      <w:r/>
    </w:p>
    <w:p>
      <w:r>
        <w:t xml:space="preserve">У двух BL-записей MIRROR_WITH_ATTRIBUTION ограничен текстом карточки, для которого применимо CC BY 4.0. Он не позволяет копировать перечисленные 188/148 TIFF. У Ñāṇatusita подтверждено право копировать полный неизменённый файл; это собственное уведомление, а не CC BY-ND и не общая политика библиотеки. </w:t>
      </w:r>
      <w:hyperlink r:id="rId17">
        <w:r>
          <w:rPr>
            <w:color w:val="246276"/>
            <w:u w:val="single"/>
          </w:rPr>
          <w:t>[R006]</w:t>
        </w:r>
      </w:hyperlink>
      <w:r>
        <w:t xml:space="preserve"> </w:t>
      </w:r>
      <w:hyperlink r:id="rId18">
        <w:r>
          <w:rPr>
            <w:color w:val="246276"/>
            <w:u w:val="single"/>
          </w:rPr>
          <w:t>[R007]</w:t>
        </w:r>
      </w:hyperlink>
      <w:r>
        <w:t xml:space="preserve"> </w:t>
      </w:r>
      <w:hyperlink r:id="rId75">
        <w:r>
          <w:rPr>
            <w:color w:val="246276"/>
            <w:u w:val="single"/>
          </w:rPr>
          <w:t>[R074]</w:t>
        </w:r>
      </w:hyperlink>
      <w:r/>
    </w:p>
    <w:p>
      <w:pPr>
        <w:pStyle w:val="Heading2"/>
      </w:pPr>
      <w:r>
        <w:t>Чистая основа собственного перевода</w:t>
      </w:r>
    </w:p>
    <w:p>
      <w:r>
        <w:t xml:space="preserve">OWN_TRANSLATION_POSSIBLE поставлен только четырём маршрутам: палийские SLTP-файлы на ATI; лицензированная транскрипция Samantapāsādikā V; конкретный исторический Phra Mālai LOC; фрагменты Kammavācā Wellcome. В каждом случае переводим только доступный исходный слой. Для сложного письма может потребоваться ручная филологическая транскрипция, хотя воспроизведение факсимиле разрешено. </w:t>
      </w:r>
      <w:hyperlink r:id="rId58">
        <w:r>
          <w:rPr>
            <w:color w:val="246276"/>
            <w:u w:val="single"/>
          </w:rPr>
          <w:t>[R005]</w:t>
        </w:r>
      </w:hyperlink>
      <w:r>
        <w:t xml:space="preserve"> </w:t>
      </w:r>
      <w:hyperlink r:id="rId11">
        <w:r>
          <w:rPr>
            <w:color w:val="246276"/>
            <w:u w:val="single"/>
          </w:rPr>
          <w:t>[R030]</w:t>
        </w:r>
      </w:hyperlink>
      <w:r>
        <w:t xml:space="preserve"> </w:t>
      </w:r>
      <w:hyperlink r:id="rId81">
        <w:r>
          <w:rPr>
            <w:color w:val="246276"/>
            <w:u w:val="single"/>
          </w:rPr>
          <w:t>[R040]</w:t>
        </w:r>
      </w:hyperlink>
      <w:r>
        <w:t xml:space="preserve"> </w:t>
      </w:r>
      <w:hyperlink r:id="rId78">
        <w:r>
          <w:rPr>
            <w:color w:val="246276"/>
            <w:u w:val="single"/>
          </w:rPr>
          <w:t>[R044]</w:t>
        </w:r>
      </w:hyperlink>
      <w:r/>
    </w:p>
    <w:p>
      <w:r>
        <w:t>Английский Brahmāli по CC0 и NC-перевод Horner пригодны для чтения и разрешённого использования, но не названы чистыми палийскими оригиналами. Открытый комментарий BMC также не служит основанием заявить перевод древней Винаи с оригинала. Для Traiphūmikathā, полного Saddanīti и Phra Bang чистая полная база пока не установлена. Доступ к фрагменту не превращён в обещание перевести весь корпус.</w:t>
      </w:r>
    </w:p>
    <w:p>
      <w:pPr>
        <w:pStyle w:val="Heading1"/>
      </w:pPr>
      <w:r>
        <w:t>5. Характерные правовые тонкости</w:t>
      </w:r>
    </w:p>
    <w:p>
      <w:r>
        <w:t xml:space="preserve">Произведение, редакция, копия и файл — разные уровни. Исторические формулы свободнее современной реконструкции; рукопись 1962 г. не означает композицию 1962 г.; снимок старого камня может иметь самостоятельные условия. Годы исходного текста, издания и свидетеля разведены; при отсутствии надёжной даты сохранена неопределённость. </w:t>
      </w:r>
      <w:hyperlink r:id="rId43">
        <w:r>
          <w:rPr>
            <w:color w:val="246276"/>
            <w:u w:val="single"/>
          </w:rPr>
          <w:t>[R041]</w:t>
        </w:r>
      </w:hyperlink>
      <w:r>
        <w:t xml:space="preserve"> </w:t>
      </w:r>
      <w:hyperlink r:id="rId78">
        <w:r>
          <w:rPr>
            <w:color w:val="246276"/>
            <w:u w:val="single"/>
          </w:rPr>
          <w:t>[R044]</w:t>
        </w:r>
      </w:hyperlink>
      <w:r>
        <w:t xml:space="preserve"> </w:t>
      </w:r>
      <w:hyperlink r:id="rId64">
        <w:r>
          <w:rPr>
            <w:color w:val="246276"/>
            <w:u w:val="single"/>
          </w:rPr>
          <w:t>[R056]</w:t>
        </w:r>
      </w:hyperlink>
      <w:r>
        <w:t xml:space="preserve"> </w:t>
      </w:r>
      <w:hyperlink r:id="rId54">
        <w:r>
          <w:rPr>
            <w:color w:val="246276"/>
            <w:u w:val="single"/>
          </w:rPr>
          <w:t>[R065]</w:t>
        </w:r>
      </w:hyperlink>
      <w:r/>
    </w:p>
    <w:p>
      <w:r>
        <w:t xml:space="preserve">Старые издания нельзя объявлять одинаково свободными во всех юрисдикциях. Американские NOT_IN_COPYRIGHT/Public Domain-пометки Internet Archive сохранены как заявления конкретного объекта; для международного зеркала нужна проверка срока и иных применимых прав. Особенно осторожен многотомный Smith: том 1928 г. не определяет статус частей, изданных значительно позже. Эти маршруты не получили безусловного MIRROR_OK. </w:t>
      </w:r>
      <w:hyperlink r:id="rId14">
        <w:r>
          <w:rPr>
            <w:color w:val="246276"/>
            <w:u w:val="single"/>
          </w:rPr>
          <w:t>[R001]</w:t>
        </w:r>
      </w:hyperlink>
      <w:r>
        <w:t xml:space="preserve"> </w:t>
      </w:r>
      <w:hyperlink r:id="rId15">
        <w:r>
          <w:rPr>
            <w:color w:val="246276"/>
            <w:u w:val="single"/>
          </w:rPr>
          <w:t>[R002]</w:t>
        </w:r>
      </w:hyperlink>
      <w:r>
        <w:t xml:space="preserve"> </w:t>
      </w:r>
      <w:hyperlink r:id="rId20">
        <w:r>
          <w:rPr>
            <w:color w:val="246276"/>
            <w:u w:val="single"/>
          </w:rPr>
          <w:t>[R032]</w:t>
        </w:r>
      </w:hyperlink>
      <w:r>
        <w:t xml:space="preserve"> </w:t>
      </w:r>
      <w:hyperlink r:id="rId69">
        <w:r>
          <w:rPr>
            <w:color w:val="246276"/>
            <w:u w:val="single"/>
          </w:rPr>
          <w:t>[R050]</w:t>
        </w:r>
      </w:hyperlink>
      <w:r/>
    </w:p>
    <w:p>
      <w:r>
        <w:t xml:space="preserve">Лицензия переводчика не обязательно очищает более новый PDF. У Horner отдельно отмечены добавления P. Kieffer-Pülz 2014 г.: NC-теги относятся к лицензированному переводу, а не автоматически ко всем страницам. Revised HTML Ānandajoti также не назван точной публичнодоменной репродукцией Cowell/Rouse 1907. </w:t>
      </w:r>
      <w:hyperlink r:id="rId62">
        <w:r>
          <w:rPr>
            <w:color w:val="246276"/>
            <w:u w:val="single"/>
          </w:rPr>
          <w:t>[R033]</w:t>
        </w:r>
      </w:hyperlink>
      <w:r>
        <w:t xml:space="preserve"> </w:t>
      </w:r>
      <w:hyperlink r:id="rId65">
        <w:r>
          <w:rPr>
            <w:color w:val="246276"/>
            <w:u w:val="single"/>
          </w:rPr>
          <w:t>[R070]</w:t>
        </w:r>
      </w:hyperlink>
      <w:r/>
    </w:p>
    <w:p>
      <w:r>
        <w:t xml:space="preserve">IIIF, RTI, ZIP, HTML и PDF — способы доставки, не лицензии. У Myazedi подтверждены проектные архивы, но не права перепубликации; у BL есть число TIFF без действующего входа; у EFEO — карточки без факсимиле. Техническая доступность и юридическое разрешение хранятся отдельно. </w:t>
      </w:r>
      <w:hyperlink r:id="rId16">
        <w:r>
          <w:rPr>
            <w:color w:val="246276"/>
            <w:u w:val="single"/>
          </w:rPr>
          <w:t>[R003]</w:t>
        </w:r>
      </w:hyperlink>
      <w:r>
        <w:t xml:space="preserve"> </w:t>
      </w:r>
      <w:hyperlink r:id="rId17">
        <w:r>
          <w:rPr>
            <w:color w:val="246276"/>
            <w:u w:val="single"/>
          </w:rPr>
          <w:t>[R006]</w:t>
        </w:r>
      </w:hyperlink>
      <w:r>
        <w:t xml:space="preserve"> </w:t>
      </w:r>
      <w:hyperlink r:id="rId56">
        <w:r>
          <w:rPr>
            <w:color w:val="246276"/>
            <w:u w:val="single"/>
          </w:rPr>
          <w:t>[R068]</w:t>
        </w:r>
      </w:hyperlink>
      <w:r>
        <w:t xml:space="preserve"> </w:t>
      </w:r>
      <w:hyperlink r:id="rId57">
        <w:r>
          <w:rPr>
            <w:color w:val="246276"/>
            <w:u w:val="single"/>
          </w:rPr>
          <w:t>[R069]</w:t>
        </w:r>
      </w:hyperlink>
      <w:r/>
    </w:p>
    <w:p>
      <w:r>
        <w:t xml:space="preserve">Public Domain Mark не является лицензией. Wellcome маркирует им объект; LOC использует формулу public domain or no known copyright restrictions и разрешение use/reuse. Сохранены источник и узкий объём — свидетель или фрагменты, а не вся традиция Phra Mālai/Kammavācā. </w:t>
      </w:r>
      <w:hyperlink r:id="rId90">
        <w:r>
          <w:rPr>
            <w:color w:val="246276"/>
            <w:u w:val="single"/>
          </w:rPr>
          <w:t>[L03]</w:t>
        </w:r>
      </w:hyperlink>
      <w:r>
        <w:t xml:space="preserve"> </w:t>
      </w:r>
      <w:hyperlink r:id="rId78">
        <w:r>
          <w:rPr>
            <w:color w:val="246276"/>
            <w:u w:val="single"/>
          </w:rPr>
          <w:t>[L04]</w:t>
        </w:r>
      </w:hyperlink>
      <w:r/>
    </w:p>
    <w:p>
      <w:pPr>
        <w:pStyle w:val="Heading1"/>
      </w:pPr>
      <w:r>
        <w:t>6. Пробелы и дальнейший поиск</w:t>
      </w:r>
    </w:p>
    <w:p>
      <w:r>
        <w:t>Главные ограничения относятся к предметному доступу и проверке версий, а не к доказательству существования традиции. Все 25 записей gaps находятся в XLSX. Существенные блокировки: Anubis у CrossAsia и HAL; JavaScript-оболочка BDRC; неоткрывающиеся NLT/Vajirayana и фототека EFEO; большие HTML/PDF сверх лимита инструмента. Эти ситуации не названы отсутствием произведения.</w:t>
      </w:r>
    </w:p>
    <w:p>
      <w:pPr>
        <w:pStyle w:val="Heading2"/>
      </w:pPr>
      <w:r>
        <w:t>Ядро и полнота</w:t>
      </w:r>
    </w:p>
    <w:p>
      <w:r>
        <w:t>Полный свободный Saddanīti остаётся G002; Phra Bang EFEO 137 — G003; полный тайский Traiphūmikathā и иллюстрированные свидетели — G004; монский слой Калъяни и эстампажи — G006; действующие EAP-факсимиле — G007. Для сакральных нарративов и ānisaṃsa нужны item-level DLLM/DLNTM, а не новые общие ссылки (G001). Паганские настенные программы пока не имеют проверенного набора изображений (G008).</w:t>
      </w:r>
    </w:p>
    <w:p>
      <w:r>
        <w:t xml:space="preserve">Подписка, покупка и авторизация не скрыты: полное научное издание Saddanīti, Jinakālamālī, Kaccāyana, Paññāsajātaka и ряд переводов доступны через покупку; английский Traiphūmikathā — предложенная выдача/вход; Mūlasāsanā — авторизация без проверенного полнотекста. Сильный защищённый научный вход не заменён слабым бесплатным пересказом. </w:t>
      </w:r>
      <w:hyperlink r:id="rId14">
        <w:r>
          <w:rPr>
            <w:color w:val="246276"/>
            <w:u w:val="single"/>
          </w:rPr>
          <w:t>[R001]</w:t>
        </w:r>
      </w:hyperlink>
      <w:r>
        <w:t xml:space="preserve"> </w:t>
      </w:r>
      <w:hyperlink r:id="rId42">
        <w:r>
          <w:rPr>
            <w:color w:val="246276"/>
            <w:u w:val="single"/>
          </w:rPr>
          <w:t>[R038]</w:t>
        </w:r>
      </w:hyperlink>
      <w:r>
        <w:t xml:space="preserve"> </w:t>
      </w:r>
      <w:hyperlink r:id="rId68">
        <w:r>
          <w:rPr>
            <w:color w:val="246276"/>
            <w:u w:val="single"/>
          </w:rPr>
          <w:t>[R039]</w:t>
        </w:r>
      </w:hyperlink>
      <w:r>
        <w:t xml:space="preserve"> </w:t>
      </w:r>
      <w:hyperlink r:id="rId23">
        <w:r>
          <w:rPr>
            <w:color w:val="246276"/>
            <w:u w:val="single"/>
          </w:rPr>
          <w:t>[R054]</w:t>
        </w:r>
      </w:hyperlink>
      <w:r>
        <w:t xml:space="preserve"> </w:t>
      </w:r>
      <w:hyperlink r:id="rId50">
        <w:r>
          <w:rPr>
            <w:color w:val="246276"/>
            <w:u w:val="single"/>
          </w:rPr>
          <w:t>[R060]</w:t>
        </w:r>
      </w:hyperlink>
      <w:r>
        <w:t xml:space="preserve"> </w:t>
      </w:r>
      <w:hyperlink r:id="rId85">
        <w:r>
          <w:rPr>
            <w:color w:val="246276"/>
            <w:u w:val="single"/>
          </w:rPr>
          <w:t>[R061]</w:t>
        </w:r>
      </w:hyperlink>
      <w:r>
        <w:t xml:space="preserve"> </w:t>
      </w:r>
      <w:hyperlink r:id="rId51">
        <w:r>
          <w:rPr>
            <w:color w:val="246276"/>
            <w:u w:val="single"/>
          </w:rPr>
          <w:t>[R062]</w:t>
        </w:r>
      </w:hyperlink>
      <w:r>
        <w:t xml:space="preserve"> </w:t>
      </w:r>
      <w:hyperlink r:id="rId33">
        <w:r>
          <w:rPr>
            <w:color w:val="246276"/>
            <w:u w:val="single"/>
          </w:rPr>
          <w:t>[R071]</w:t>
        </w:r>
      </w:hyperlink>
      <w:r>
        <w:t xml:space="preserve"> </w:t>
      </w:r>
      <w:hyperlink r:id="rId66">
        <w:r>
          <w:rPr>
            <w:color w:val="246276"/>
            <w:u w:val="single"/>
          </w:rPr>
          <w:t>[R072]</w:t>
        </w:r>
      </w:hyperlink>
      <w:r/>
    </w:p>
    <w:p>
      <w:pPr>
        <w:pStyle w:val="Heading2"/>
      </w:pPr>
      <w:r>
        <w:t>Хронологический ореол, который ещё не завершён</w:t>
      </w:r>
    </w:p>
    <w:p>
      <w:r>
        <w:t xml:space="preserve">Не завершены региональные Vessantara-версии; Extended/Cambodian Mahāvaṃsa; грамматические Nyāsa/Mukhamattadīpanī и Payogasiddhi; Sārasaṅgaha, Lokapaññatti и Cakkavāḷadīpanī; дальнейшие IMA; ранние пластины Śrīkṣetra; первичный инвентарь nissaya/dhammasattha. Записи G012–G025 — кандидаты с обозначенным уровнем подтверждения, а не незаметно добавленные установленные полные тексты. Для космологических кандидатов требуется ещё доказать конкретную связь с составом Traiphūmi, а не удовлетвориться общей темой. </w:t>
      </w:r>
      <w:hyperlink r:id="rId75">
        <w:r>
          <w:rPr>
            <w:color w:val="246276"/>
            <w:u w:val="single"/>
          </w:rPr>
          <w:t>[R074]</w:t>
        </w:r>
      </w:hyperlink>
      <w:r/>
    </w:p>
    <w:p>
      <w:r>
        <w:t>Издание Vajirasāratthasaṅgaha и ṭīkā подтверждено, но полноценный маршрут ещё нужен (G016). У статуйных хроник Ratanabimbavaṃsa/Sīhiṅganidāna связь с Phra Bang содержательно перспективна; сборник по ISBN 9786165949842 оставлен unverified_candidate до сильного библиографического подтверждения (G015). Полный русский перевод ключевых местных произведений не установлен; это не утверждение, что таких переводов не существует (G020).</w:t>
      </w:r>
    </w:p>
    <w:p>
      <w:pPr>
        <w:pStyle w:val="Heading2"/>
      </w:pPr>
      <w:r>
        <w:t>Права, требующие ручной проверки</w:t>
      </w:r>
    </w:p>
    <w:p>
      <w:r>
        <w:t xml:space="preserve">ThaiOldBooks (G005) нельзя использовать как автоматическую CC0-основу. В открытом депозите CC0 соседствует с файлами современных версий Traiphum; право депонента лицензировать каждый исходный слой не подтверждено. Набор не включён в основной registry как очищенный маршрут повторного использования. У Myazedi (G021) иной вопрос: исследовательское происхождение и загрузки подтверждены, но компонентная лицензия не прочитана. </w:t>
      </w:r>
      <w:hyperlink r:id="rId13">
        <w:r>
          <w:rPr>
            <w:color w:val="246276"/>
            <w:u w:val="single"/>
          </w:rPr>
          <w:t>[L10]</w:t>
        </w:r>
      </w:hyperlink>
      <w:r>
        <w:t xml:space="preserve"> </w:t>
      </w:r>
      <w:hyperlink r:id="rId56">
        <w:r>
          <w:rPr>
            <w:color w:val="246276"/>
            <w:u w:val="single"/>
          </w:rPr>
          <w:t>[R068]</w:t>
        </w:r>
      </w:hyperlink>
      <w:r>
        <w:t xml:space="preserve"> </w:t>
      </w:r>
      <w:hyperlink r:id="rId57">
        <w:r>
          <w:rPr>
            <w:color w:val="246276"/>
            <w:u w:val="single"/>
          </w:rPr>
          <w:t>[R069]</w:t>
        </w:r>
      </w:hyperlink>
      <w:r/>
    </w:p>
    <w:p>
      <w:pPr>
        <w:pStyle w:val="Heading2"/>
        <w:pageBreakBefore/>
      </w:pPr>
      <w:r>
        <w:t>Восемь приоритетных направлений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/>
          <w:cantSplit/>
        </w:trPr>
        <w:tc>
          <w:tcPr>
            <w:tcW w:type="dxa" w:w="2268"/>
            <w:vAlign w:val="top"/>
            <w:shd w:fill="163E50"/>
          </w:tcPr>
          <w:p>
            <w:pPr>
              <w:spacing w:after="80" w:before="60" w:line="252" w:lineRule="auto"/>
            </w:pPr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7370"/>
            <w:vAlign w:val="top"/>
            <w:shd w:fill="163E50"/>
          </w:tcPr>
          <w:p>
            <w:pPr>
              <w:spacing w:after="80" w:before="60" w:line="252" w:lineRule="auto"/>
            </w:pPr>
            <w:r>
              <w:rPr>
                <w:b/>
                <w:color w:val="FFFFFF"/>
                <w:sz w:val="18"/>
              </w:rPr>
              <w:t>Следующая проверка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1 · Тайская космология</w:t>
            </w:r>
          </w:p>
        </w:tc>
        <w:tc>
          <w:tcPr>
            <w:tcW w:type="dxa" w:w="7370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Vajirayana + NLT: полный оригинал, рукопись, старое издание и современная транслитерация раздельно. G004–G005.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2 · Монская Калъяни</w:t>
            </w:r>
          </w:p>
        </w:tc>
        <w:tc>
          <w:tcPr>
            <w:tcW w:type="dxa" w:w="7370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Epigraphia Birmanica/Blagden и фотографии камней: состав монской части, разночтения, права изображений. G006.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3 · Полная грамматика</w:t>
            </w:r>
          </w:p>
        </w:tc>
        <w:tc>
          <w:tcPr>
            <w:tcW w:type="dxa" w:w="7370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Остальные тома Saddanīti; Nyāsa/Mukhamattadīpanī, Payogasiddhi; проверенный VRI-оригинал и экспорт. G002, G017, G023.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4 · Лаос и ānisaṃsa</w:t>
            </w:r>
          </w:p>
        </w:tc>
        <w:tc>
          <w:tcPr>
            <w:tcW w:type="dxa" w:w="7370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Разрешённый интерфейс DLLM/DLNTM, EFEO PALI 137/75; проверить свидетеля и его лицензию. G001, G003.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5 · Кхмерская передача</w:t>
            </w:r>
          </w:p>
        </w:tc>
        <w:tc>
          <w:tcPr>
            <w:tcW w:type="dxa" w:w="7370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FEMC/BDRC Paṭhamasambodhi, K.501/K.82, IMA 35–39 и Extended Mahāvaṃsa. G010–G013, G024.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6 · Материальная сохранность</w:t>
            </w:r>
          </w:p>
        </w:tc>
        <w:tc>
          <w:tcPr>
            <w:tcW w:type="dxa" w:w="7370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EAP1150-факсимиле, Temple 684 EFEO_PICP05825, лицензии двух Myazedi-наборов. G007–G008, G021.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7 · Нарративные семьи</w:t>
            </w:r>
          </w:p>
        </w:tc>
        <w:tc>
          <w:tcPr>
            <w:tcW w:type="dxa" w:w="7370"/>
            <w:vAlign w:val="top"/>
            <w:shd w:fill="F0F5F7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Региональные Ja 547; статуйные хроники; точное издание Vajirasāratthasaṅgaha. G014–G016.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8 · Переводы и ранние входы</w:t>
            </w:r>
          </w:p>
        </w:tc>
        <w:tc>
          <w:tcPr>
            <w:tcW w:type="dxa" w:w="7370"/>
            <w:vAlign w:val="top"/>
            <w:shd w:fill="FFFFFF"/>
          </w:tcPr>
          <w:p>
            <w:pPr>
              <w:spacing w:after="80" w:before="60" w:line="252" w:lineRule="auto"/>
            </w:pPr>
            <w:r>
              <w:rPr>
                <w:b w:val="0"/>
                <w:color w:val="263746"/>
                <w:sz w:val="18"/>
              </w:rPr>
            </w:r>
            <w:r>
              <w:rPr>
                <w:b w:val="0"/>
                <w:color w:val="263746"/>
                <w:sz w:val="18"/>
              </w:rPr>
              <w:t>ИВР РАН: другие части Сасанаваṃсы; старые переводы Dīpavaṃsa/Mahāvaṃsa; Śrīkṣetra. G020, G022, G025.</w:t>
            </w:r>
          </w:p>
        </w:tc>
      </w:tr>
    </w:tbl>
    <w:p>
      <w:pPr>
        <w:pStyle w:val="Heading1"/>
      </w:pPr>
      <w:r>
        <w:t>7. Итоговая оценка</w:t>
      </w:r>
    </w:p>
    <w:p>
      <w:r>
        <w:t>Палийская учебная, дисциплинарная и хроникальная часть покрыта лучше местных вернакулярных рецензий и полных рукописных серий. Все центральные семейства DR представлены маршрутом или конкретным пробелом, однако полнота доступа неодинакова. Не следует принимать за завершённые полный Saddanīti, тайский Traiphūmikathā, лаосский корпус и весь монский Калъяни.</w:t>
      </w:r>
    </w:p>
    <w:p>
      <w:r>
        <w:t xml:space="preserve">Оригиналы доступны как цифровые палийские тексты, отдельные исторические сканы и несколько предметных факсимиле. Переводы наиболее доступны по-английски; русский маршрут найден лишь для части Sāsanavaṃsa. Наиболее свободный проверенный слой — конкретные SLTP-файлы, английский Brahmāli, Samantapāsādikā V и отдельные факсимиле LOC/Wellcome. NC-права дают дополнительные возможности для Horner и BMC, но не превращают весь научный корпус в свободный. </w:t>
      </w:r>
      <w:hyperlink r:id="rId58">
        <w:r>
          <w:rPr>
            <w:color w:val="246276"/>
            <w:u w:val="single"/>
          </w:rPr>
          <w:t>[R005]</w:t>
        </w:r>
      </w:hyperlink>
      <w:r>
        <w:t xml:space="preserve"> </w:t>
      </w:r>
      <w:hyperlink r:id="rId11">
        <w:r>
          <w:rPr>
            <w:color w:val="246276"/>
            <w:u w:val="single"/>
          </w:rPr>
          <w:t>[R030]</w:t>
        </w:r>
      </w:hyperlink>
      <w:r>
        <w:t xml:space="preserve"> </w:t>
      </w:r>
      <w:hyperlink r:id="rId62">
        <w:r>
          <w:rPr>
            <w:color w:val="246276"/>
            <w:u w:val="single"/>
          </w:rPr>
          <w:t>[R033]</w:t>
        </w:r>
      </w:hyperlink>
      <w:r>
        <w:t xml:space="preserve"> </w:t>
      </w:r>
      <w:hyperlink r:id="rId63">
        <w:r>
          <w:rPr>
            <w:color w:val="246276"/>
            <w:u w:val="single"/>
          </w:rPr>
          <w:t>[R034]</w:t>
        </w:r>
      </w:hyperlink>
      <w:r>
        <w:t xml:space="preserve"> </w:t>
      </w:r>
      <w:hyperlink r:id="rId77">
        <w:r>
          <w:rPr>
            <w:color w:val="246276"/>
            <w:u w:val="single"/>
          </w:rPr>
          <w:t>[R035]</w:t>
        </w:r>
      </w:hyperlink>
      <w:r>
        <w:t xml:space="preserve"> </w:t>
      </w:r>
      <w:hyperlink r:id="rId81">
        <w:r>
          <w:rPr>
            <w:color w:val="246276"/>
            <w:u w:val="single"/>
          </w:rPr>
          <w:t>[R040]</w:t>
        </w:r>
      </w:hyperlink>
      <w:r>
        <w:t xml:space="preserve"> </w:t>
      </w:r>
      <w:hyperlink r:id="rId78">
        <w:r>
          <w:rPr>
            <w:color w:val="246276"/>
            <w:u w:val="single"/>
          </w:rPr>
          <w:t>[R044]</w:t>
        </w:r>
      </w:hyperlink>
      <w:r>
        <w:t xml:space="preserve"> </w:t>
      </w:r>
      <w:hyperlink r:id="rId70">
        <w:r>
          <w:rPr>
            <w:color w:val="246276"/>
            <w:u w:val="single"/>
          </w:rPr>
          <w:t>[R051]</w:t>
        </w:r>
      </w:hyperlink>
      <w:r/>
    </w:p>
    <w:p>
      <w:r>
        <w:t>Пакет пригоден для передачи Codex как исследовательский реестр: URL, версии, идентификаторы, состояние проверки и ограничения сохранены построчно. Это не готовое разрешение на массовое зеркалирование. Перед автоматическим использованием нужно читать одновременно access_mode, coverage, rights_scope, tos_use, own_translation_basis и notes. Неизвестные права оставлены неизвестными; покупки, выдача, регистрации, обращения к правообладателям, OCR и публикация материалов в ходе исследования не выполнялись.</w:t>
      </w:r>
    </w:p>
    <w:p>
      <w:pPr>
        <w:pStyle w:val="Caption"/>
      </w:pPr>
      <w:r>
        <w:t>Результат: 74 пути доступа, 53 учётные позиции произведений/корпусных групп, 25 пробелов. ID T2-40 и статус B сохранены. Хронология мастер-строки не расширена: ранние входы, поздние продолжения, переводы и рукописные копии образуют описанный корпусный ореол, а не новые границы строки.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1020" w:left="1134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sz w:val="16"/>
      </w:rPr>
      <w:t xml:space="preserve">Проверка: 04.09.2026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ДРЕВО СОФИИ  /  CORPUS &amp; RIGHTS                            T2-40 ·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E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4627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DejaVu Sans" w:hAnsi="DejaVu Sans"/>
      <w:b/>
      <w:color w:val="163E5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/>
      <w:b/>
      <w:bCs/>
      <w:color w:val="52666E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retil.sub.uni-goettingen.de/gretil/2_pali/4_comm/samp_5ou.htm" TargetMode="External"/><Relationship Id="rId12" Type="http://schemas.openxmlformats.org/officeDocument/2006/relationships/hyperlink" Target="https://palitextsociety.org/copyright-information/" TargetMode="External"/><Relationship Id="rId13" Type="http://schemas.openxmlformats.org/officeDocument/2006/relationships/hyperlink" Target="https://zenodo.org/records/10782362" TargetMode="External"/><Relationship Id="rId14" Type="http://schemas.openxmlformats.org/officeDocument/2006/relationships/hyperlink" Target="https://palitextsociety.org/product/saddaniti/" TargetMode="External"/><Relationship Id="rId15" Type="http://schemas.openxmlformats.org/officeDocument/2006/relationships/hyperlink" Target="https://archive.org/details/in.gov.ignca.2699" TargetMode="External"/><Relationship Id="rId16" Type="http://schemas.openxmlformats.org/officeDocument/2006/relationships/hyperlink" Target="https://archives.efeo.fr/index.php/mss-pali-137" TargetMode="External"/><Relationship Id="rId17" Type="http://schemas.openxmlformats.org/officeDocument/2006/relationships/hyperlink" Target="https://searcharchives.bl.uk/catalog/040-003541375" TargetMode="External"/><Relationship Id="rId18" Type="http://schemas.openxmlformats.org/officeDocument/2006/relationships/hyperlink" Target="https://searcharchives.bl.uk/catalog/040-003541192" TargetMode="External"/><Relationship Id="rId19" Type="http://schemas.openxmlformats.org/officeDocument/2006/relationships/hyperlink" Target="https://archive.org/details/cu31924011724808" TargetMode="External"/><Relationship Id="rId20" Type="http://schemas.openxmlformats.org/officeDocument/2006/relationships/hyperlink" Target="https://archive.org/details/in.ernet.dli.2015.283425" TargetMode="External"/><Relationship Id="rId21" Type="http://schemas.openxmlformats.org/officeDocument/2006/relationships/hyperlink" Target="https://www.finearts.go.th/songkhlalibraryk/view/17320-&#3652;&#3605;&#3619;&#3616;&#3641;&#3617;&#3636;&#3617;&#3636;&#3585;&#3606;&#3634;-&#3627;&#3619;&#3639;&#3629;-" TargetMode="External"/><Relationship Id="rId22" Type="http://schemas.openxmlformats.org/officeDocument/2006/relationships/hyperlink" Target="https://www.finearts.go.th/songkhlalibraryk/view/23289-&#3652;&#3605;&#3619;&#3616;&#3641;&#3617;&#3636;&#3614;&#3619;&#3632;&#3619;&#3656;&#3623;&#3591;-&#3586;&#3629;&#3591;-&#3614;&#3619;&#3632;&#3597;&#3634;&#3621;&#3636;&#3652;&#3607;&#3618;" TargetMode="External"/><Relationship Id="rId23" Type="http://schemas.openxmlformats.org/officeDocument/2006/relationships/hyperlink" Target="https://openlibrary.org/books/OL1944610M" TargetMode="External"/><Relationship Id="rId24" Type="http://schemas.openxmlformats.org/officeDocument/2006/relationships/hyperlink" Target="https://gretil.sub.uni-goettingen.de/gretil/2_pali/9_phil/gramm/chkacsnu.htm" TargetMode="External"/><Relationship Id="rId25" Type="http://schemas.openxmlformats.org/officeDocument/2006/relationships/hyperlink" Target="https://gretil.sub.uni-goettingen.de/gretil/2_pali/9_phil/gramm/saddatbu.htm" TargetMode="External"/><Relationship Id="rId26" Type="http://schemas.openxmlformats.org/officeDocument/2006/relationships/hyperlink" Target="https://gretil.sub.uni-goettingen.de/gretil/2_pali/9_phil/gramm/mkacbheu.htm" TargetMode="External"/><Relationship Id="rId27" Type="http://schemas.openxmlformats.org/officeDocument/2006/relationships/hyperlink" Target="https://gretil.sub.uni-goettingen.de/gretil/2_pali/9_phil/gramm/balava_u.htm" TargetMode="External"/><Relationship Id="rId28" Type="http://schemas.openxmlformats.org/officeDocument/2006/relationships/hyperlink" Target="https://gretil.sub.uni-goettingen.de/gretil/2_pali/9_phil/lex/abhidh_u.htm" TargetMode="External"/><Relationship Id="rId29" Type="http://schemas.openxmlformats.org/officeDocument/2006/relationships/hyperlink" Target="https://gretil.sub.uni-goettingen.de/gretil/2_pali/9_phil/rhet/subodh_u.htm" TargetMode="External"/><Relationship Id="rId30" Type="http://schemas.openxmlformats.org/officeDocument/2006/relationships/hyperlink" Target="https://gretil.sub.uni-goettingen.de/gretil/2_pali/9_phil/gramm/moggal1u.htm" TargetMode="External"/><Relationship Id="rId31" Type="http://schemas.openxmlformats.org/officeDocument/2006/relationships/hyperlink" Target="https://gretil.sub.uni-goettingen.de/gretil/2_pali/9_phil/gramm/maharu_u.htm" TargetMode="External"/><Relationship Id="rId32" Type="http://schemas.openxmlformats.org/officeDocument/2006/relationships/hyperlink" Target="https://gretil.sub.uni-goettingen.de/gretil/2_pali/9_phil/gramm/saddab_u.htm" TargetMode="External"/><Relationship Id="rId33" Type="http://schemas.openxmlformats.org/officeDocument/2006/relationships/hyperlink" Target="https://palitextsociety.org/product/kaccayana-and-kaccayanavutti/" TargetMode="External"/><Relationship Id="rId34" Type="http://schemas.openxmlformats.org/officeDocument/2006/relationships/hyperlink" Target="https://palitextsociety.org/wp-content/uploads/2024/12/JPTS_I_16.pdf" TargetMode="External"/><Relationship Id="rId35" Type="http://schemas.openxmlformats.org/officeDocument/2006/relationships/hyperlink" Target="https://palitextsociety.org/wp-content/uploads/2024/12/JPTS_I_29.pdf" TargetMode="External"/><Relationship Id="rId36" Type="http://schemas.openxmlformats.org/officeDocument/2006/relationships/hyperlink" Target="https://palitextsociety.org/wp-content/uploads/2024/12/JPTS_II_4.pdf" TargetMode="External"/><Relationship Id="rId37" Type="http://schemas.openxmlformats.org/officeDocument/2006/relationships/hyperlink" Target="https://palitextsociety.org/wp-content/uploads/2024/12/JPTS_II_11.pdf" TargetMode="External"/><Relationship Id="rId38" Type="http://schemas.openxmlformats.org/officeDocument/2006/relationships/hyperlink" Target="https://palitextsociety.org/wp-content/uploads/2024/12/JPTS_II_12.pdf" TargetMode="External"/><Relationship Id="rId39" Type="http://schemas.openxmlformats.org/officeDocument/2006/relationships/hyperlink" Target="https://palitextsociety.org/wp-content/uploads/2024/12/JPTS_II_20.pdf" TargetMode="External"/><Relationship Id="rId40" Type="http://schemas.openxmlformats.org/officeDocument/2006/relationships/hyperlink" Target="https://palitextsociety.org/wp-content/uploads/2024/12/JPTS_IV_4.pdf" TargetMode="External"/><Relationship Id="rId41" Type="http://schemas.openxmlformats.org/officeDocument/2006/relationships/hyperlink" Target="https://gretil.sub.uni-goettingen.de/gretil/2_pali/6_suanco/lokapp_u.htm" TargetMode="External"/><Relationship Id="rId42" Type="http://schemas.openxmlformats.org/officeDocument/2006/relationships/hyperlink" Target="https://palitextsociety.org/product/jinakalamali/" TargetMode="External"/><Relationship Id="rId43" Type="http://schemas.openxmlformats.org/officeDocument/2006/relationships/hyperlink" Target="https://lanna-manuscripts.efeo.fr/node/2" TargetMode="External"/><Relationship Id="rId44" Type="http://schemas.openxmlformats.org/officeDocument/2006/relationships/hyperlink" Target="https://lanna-manuscripts.efeo.fr/node/3" TargetMode="External"/><Relationship Id="rId45" Type="http://schemas.openxmlformats.org/officeDocument/2006/relationships/hyperlink" Target="https://lanna-manuscripts.efeo.fr/node/8" TargetMode="External"/><Relationship Id="rId46" Type="http://schemas.openxmlformats.org/officeDocument/2006/relationships/hyperlink" Target="https://palitextsociety.org/wp-content/uploads/2024/12/JPTS_XVIII_3.pdf" TargetMode="External"/><Relationship Id="rId47" Type="http://schemas.openxmlformats.org/officeDocument/2006/relationships/hyperlink" Target="https://palitextsociety.org/wp-content/uploads/2024/12/JPTS_XVIII_4.pdf" TargetMode="External"/><Relationship Id="rId48" Type="http://schemas.openxmlformats.org/officeDocument/2006/relationships/hyperlink" Target="https://palitextsociety.org/wp-content/uploads/2024/12/JPTS_XVIII_5.pdf" TargetMode="External"/><Relationship Id="rId49" Type="http://schemas.openxmlformats.org/officeDocument/2006/relationships/hyperlink" Target="https://play.google.com/store/books/details/Donald_K_Swearer_The_Legend_of_Queen_C_ma?id=CHh8q2xCFNQC" TargetMode="External"/><Relationship Id="rId50" Type="http://schemas.openxmlformats.org/officeDocument/2006/relationships/hyperlink" Target="https://palitextsociety.org/product/pannasajataka-zimme-jataka-2-volume-set/" TargetMode="External"/><Relationship Id="rId51" Type="http://schemas.openxmlformats.org/officeDocument/2006/relationships/hyperlink" Target="https://digitalcenter.finearts.go.th/ebook/64532f0724b82" TargetMode="External"/><Relationship Id="rId52" Type="http://schemas.openxmlformats.org/officeDocument/2006/relationships/hyperlink" Target="https://www.finearts.go.th/nakhonsithammaratlibrary/view/26273-&#3652;&#3605;&#3619;&#3616;&#3641;&#3617;&#3636;&#3650;&#3621;&#3585;&#3623;&#3636;&#3609;&#3636;&#3592;&#3593;&#3618;&#3585;&#3606;&#3634;-&#3593;&#3610;&#3633;&#3610;&#3607;&#3637;&#3656;-2--&#3652;&#3605;&#3619;&#3616;&#3641;&#3617;&#3636;&#3593;&#3610;&#3633;&#3610;&#3627;&#3621;&#3623;&#3591;--&#3648;&#3621;&#3656;&#3617;-2" TargetMode="External"/><Relationship Id="rId53" Type="http://schemas.openxmlformats.org/officeDocument/2006/relationships/hyperlink" Target="https://archives.efeo.fr/index.php/mss-thai-yuan-65" TargetMode="External"/><Relationship Id="rId54" Type="http://schemas.openxmlformats.org/officeDocument/2006/relationships/hyperlink" Target="https://archives.efeo.fr/index.php/mss-pali-75" TargetMode="External"/><Relationship Id="rId55" Type="http://schemas.openxmlformats.org/officeDocument/2006/relationships/hyperlink" Target="https://www.unesco.org/en/memory-world/myazedi-quadrilingual-stone-inscription" TargetMode="External"/><Relationship Id="rId56" Type="http://schemas.openxmlformats.org/officeDocument/2006/relationships/hyperlink" Target="https://zenodo.org/records/580158" TargetMode="External"/><Relationship Id="rId57" Type="http://schemas.openxmlformats.org/officeDocument/2006/relationships/hyperlink" Target="https://zenodo.org/records/579873" TargetMode="External"/><Relationship Id="rId58" Type="http://schemas.openxmlformats.org/officeDocument/2006/relationships/hyperlink" Target="https://accesstoinsight.org/tipitaka/sltp/" TargetMode="External"/><Relationship Id="rId59" Type="http://schemas.openxmlformats.org/officeDocument/2006/relationships/hyperlink" Target="https://gretil.sub.uni-goettingen.de/gretil/2_pali/3_chron/dipavmsu.htm" TargetMode="External"/><Relationship Id="rId60" Type="http://schemas.openxmlformats.org/officeDocument/2006/relationships/hyperlink" Target="https://gretil.sub.uni-goettingen.de/gretil/2_pali/3_chron/mahava_u.htm" TargetMode="External"/><Relationship Id="rId61" Type="http://schemas.openxmlformats.org/officeDocument/2006/relationships/hyperlink" Target="https://gretil.sub.uni-goettingen.de/gretil/2_pali/4_comm/visudd_u.htm" TargetMode="External"/><Relationship Id="rId62" Type="http://schemas.openxmlformats.org/officeDocument/2006/relationships/hyperlink" Target="https://ancient-buddhist-texts.net/Reference/PTS-titles.htm" TargetMode="External"/><Relationship Id="rId63" Type="http://schemas.openxmlformats.org/officeDocument/2006/relationships/hyperlink" Target="https://github.com/suttacentral/editions/tree/main/en/brahmali/pli-tv-vi" TargetMode="External"/><Relationship Id="rId64" Type="http://schemas.openxmlformats.org/officeDocument/2006/relationships/hyperlink" Target="https://thesiamsociety.org/knowledge-hub/uploads/research/185/663f90c29a0a8.pdf" TargetMode="External"/><Relationship Id="rId65" Type="http://schemas.openxmlformats.org/officeDocument/2006/relationships/hyperlink" Target="https://ancient-buddhist-texts.net/English-Texts/Jataka/547.htm" TargetMode="External"/><Relationship Id="rId66" Type="http://schemas.openxmlformats.org/officeDocument/2006/relationships/hyperlink" Target="https://palitextsociety.org/product/the-perfect-generosity-of-prince-vessantara/" TargetMode="External"/><Relationship Id="rId67" Type="http://schemas.openxmlformats.org/officeDocument/2006/relationships/hyperlink" Target="https://palitextsociety.org/wp-content/uploads/2024/12/JPTS_II_3.pdf" TargetMode="External"/><Relationship Id="rId68" Type="http://schemas.openxmlformats.org/officeDocument/2006/relationships/hyperlink" Target="https://palitextsociety.org/product/epochs-of-the-conqueror/" TargetMode="External"/><Relationship Id="rId69" Type="http://schemas.openxmlformats.org/officeDocument/2006/relationships/hyperlink" Target="https://archive.org/details/sasanavamsa00pa" TargetMode="External"/><Relationship Id="rId70" Type="http://schemas.openxmlformats.org/officeDocument/2006/relationships/hyperlink" Target="https://www.orientalstudies.ru/rus/images/pdf/add1/buddizm_v_perevodakh_2_1993_11_sorokina.pdf" TargetMode="External"/><Relationship Id="rId71" Type="http://schemas.openxmlformats.org/officeDocument/2006/relationships/hyperlink" Target="https://www.persee.fr/doc/befeo_0336-1519_1975_num_62_1_3848" TargetMode="External"/><Relationship Id="rId72" Type="http://schemas.openxmlformats.org/officeDocument/2006/relationships/hyperlink" Target="https://www.persee.fr/doc/befeo_0336-1519_1972_num_59_1_5119" TargetMode="External"/><Relationship Id="rId73" Type="http://schemas.openxmlformats.org/officeDocument/2006/relationships/hyperlink" Target="https://grei.fr/en/ratanapannas-vajirasaratthasa%E1%B9%85gaha-and-its-%E1%B9%ADika-2/" TargetMode="External"/><Relationship Id="rId74" Type="http://schemas.openxmlformats.org/officeDocument/2006/relationships/hyperlink" Target="https://palitextsociety.org/product/pali-literature-transmitted-in-central-siam/" TargetMode="External"/><Relationship Id="rId75" Type="http://schemas.openxmlformats.org/officeDocument/2006/relationships/hyperlink" Target="https://gretil.sub.uni-goettingen.de/gretil_elib/Nyt008__Nyanatusita_ReferenceTableOfPaliLiterature.pdf" TargetMode="External"/><Relationship Id="rId76" Type="http://schemas.openxmlformats.org/officeDocument/2006/relationships/hyperlink" Target="https://raw.githubusercontent.com/suttacentral/bilara-data/published/LICENSE.md" TargetMode="External"/><Relationship Id="rId77" Type="http://schemas.openxmlformats.org/officeDocument/2006/relationships/hyperlink" Target="https://www.dhammatalks.org/vinaya/bmc/" TargetMode="External"/><Relationship Id="rId78" Type="http://schemas.openxmlformats.org/officeDocument/2006/relationships/hyperlink" Target="https://wellcomecollection.org/works/qt46ufnx" TargetMode="External"/><Relationship Id="rId79" Type="http://schemas.openxmlformats.org/officeDocument/2006/relationships/hyperlink" Target="https://db.sac.or.th/inscriptions/inscribe/detail/177" TargetMode="External"/><Relationship Id="rId80" Type="http://schemas.openxmlformats.org/officeDocument/2006/relationships/hyperlink" Target="https://db.sac.or.th/inscriptions/inscribe/detail/183" TargetMode="External"/><Relationship Id="rId81" Type="http://schemas.openxmlformats.org/officeDocument/2006/relationships/hyperlink" Target="https://www.loc.gov/item/2010422047/" TargetMode="External"/><Relationship Id="rId82" Type="http://schemas.openxmlformats.org/officeDocument/2006/relationships/hyperlink" Target="https://digital.crossasia.org/digital-library-of-northern-thai-manuscripts/?lang=en" TargetMode="External"/><Relationship Id="rId83" Type="http://schemas.openxmlformats.org/officeDocument/2006/relationships/hyperlink" Target="https://digital.crossasia.org/digital-library-of-lao-manuscripts/?lang=en" TargetMode="External"/><Relationship Id="rId84" Type="http://schemas.openxmlformats.org/officeDocument/2006/relationships/hyperlink" Target="https://www.persee.fr/doc/befeo_0336-1519_1936_num_36_1_3659" TargetMode="External"/><Relationship Id="rId85" Type="http://schemas.openxmlformats.org/officeDocument/2006/relationships/hyperlink" Target="https://palitextsociety.org/product/apocryphal-birth-stories-2-volume-set/" TargetMode="External"/><Relationship Id="rId86" Type="http://schemas.openxmlformats.org/officeDocument/2006/relationships/hyperlink" Target="https://lanna-manuscripts.efeo.fr/manuscript/list" TargetMode="External"/><Relationship Id="rId87" Type="http://schemas.openxmlformats.org/officeDocument/2006/relationships/hyperlink" Target="https://www.dhammatalks.org/vinaya/bmc/Section0002.html" TargetMode="External"/><Relationship Id="rId88" Type="http://schemas.openxmlformats.org/officeDocument/2006/relationships/hyperlink" Target="https://digital.crossasia.org/digital-library-of-northern-thai-manuscripts-about/?lang=en" TargetMode="External"/><Relationship Id="rId89" Type="http://schemas.openxmlformats.org/officeDocument/2006/relationships/hyperlink" Target="https://lanna-manuscripts.efeo.fr/node/186" TargetMode="External"/><Relationship Id="rId90" Type="http://schemas.openxmlformats.org/officeDocument/2006/relationships/hyperlink" Target="https://www.loc.gov/item/2010422047/#rights-and-acc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T2-40</dc:title>
  <dc:subject>Тхеравадинский коридор: корпус, законные пути доступа и условия использования</dc:subject>
  <dc:creator>ToS / Древо Софии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