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br/>
        <w:t>Registry</w:t>
      </w:r>
    </w:p>
    <w:p>
      <w:pPr>
        <w:pStyle w:val="Subtitle"/>
      </w:pPr>
      <w:r>
        <w:t>T2-42 — Имперский тибетский переводческий проект</w:t>
        <w:br/>
        <w:t>и формирование канона</w:t>
      </w:r>
    </w:p>
    <w:p>
      <w:pPr>
        <w:pStyle w:val="Small"/>
      </w:pPr>
      <w:r/>
      <w:r>
        <w:rPr>
          <w:b/>
        </w:rPr>
        <w:t>72 пути доступа · 32 пробела · статус B сохранён</w:t>
      </w:r>
      <w:r/>
    </w:p>
    <w:p>
      <w:r>
        <w:t xml:space="preserve">Реестр первичных текстов, переводов, изданий, рукописных свидетелей и цифровых данных. Проверка доступа и прав: </w:t>
      </w:r>
      <w:r>
        <w:rPr>
          <w:b/>
        </w:rPr>
        <w:t>4 сентября 2026 года</w:t>
      </w:r>
      <w:r>
        <w:t>.</w:t>
      </w:r>
    </w:p>
    <w:p>
      <w:r>
        <w:t>Главный результат: наиболее удобный масштабируемый слой — поздний тибетский электронный канон; наиболее свободный слой метаданных — rKTs. Ранние каталоги и рукописные фотографии остаются заметно труднее доступными. Открытое чтение современных переводов не трактуется как разрешение на их повторную публикацию.</w:t>
      </w:r>
      <w:r>
        <w:t xml:space="preserve"> </w:t>
      </w:r>
      <w:hyperlink r:id="rId11">
        <w:r>
          <w:rPr>
            <w:color w:val="176A75"/>
            <w:u w:val="single"/>
          </w:rPr>
          <w:t>[R021]</w:t>
        </w:r>
      </w:hyperlink>
      <w:r>
        <w:t xml:space="preserve"> · </w:t>
      </w:r>
      <w:hyperlink r:id="rId12">
        <w:r>
          <w:rPr>
            <w:color w:val="176A75"/>
            <w:u w:val="single"/>
          </w:rPr>
          <w:t>[R032]</w:t>
        </w:r>
      </w:hyperlink>
      <w:r>
        <w:t xml:space="preserve"> · </w:t>
      </w:r>
      <w:hyperlink r:id="rId13">
        <w:r>
          <w:rPr>
            <w:color w:val="176A75"/>
            <w:u w:val="single"/>
          </w:rPr>
          <w:t>[R033]</w:t>
        </w:r>
      </w:hyperlink>
    </w:p>
    <w:p>
      <w:pPr>
        <w:pStyle w:val="Small"/>
      </w:pPr>
      <w:r>
        <w:t>Сопутствующий файл: ToS_Corpus_Rights_T2-42_registry.xlsx. В тексте используются сокращения R001–R072 и G001–G032; полные идентификаторы имеют префикс T2-42-. Ссылки [R…] ведут к соответствующим источникам, а все поля проверки и прав находятся в XLSX.</w:t>
      </w:r>
    </w:p>
    <w:p>
      <w:pPr>
        <w:pStyle w:val="Heading1"/>
      </w:pPr>
      <w:r>
        <w:t>1. Паспорт</w:t>
      </w:r>
    </w:p>
    <w:tbl>
      <w:tblPr>
        <w:tblW w:type="auto" w:w="0"/>
        <w:jc w:val="center"/>
        <w:tblLayout w:type="fixed"/>
        <w:tblLook w:firstColumn="1" w:firstRow="1" w:lastColumn="0" w:lastRow="0" w:noHBand="0" w:noVBand="1" w:val="04A0"/>
      </w:tblPr>
      <w:tblGrid>
        <w:gridCol w:w="2268"/>
        <w:gridCol w:w="7483"/>
      </w:tblGrid>
      <w:tr>
        <w:trPr>
          <w:cantSplit/>
          <w:tblHeader/>
        </w:trPr>
        <w:tc>
          <w:tcPr>
            <w:tcW w:type="dxa" w:w="2268"/>
            <w:vAlign w:val="top"/>
            <w:tcMar>
              <w:top w:w="90" w:type="dxa"/>
              <w:left w:w="90" w:type="dxa"/>
              <w:bottom w:w="90" w:type="dxa"/>
              <w:right w:w="90" w:type="dxa"/>
            </w:tcMar>
            <w:shd w:fill="173D48"/>
          </w:tcPr>
          <w:p>
            <w:pPr>
              <w:spacing w:after="60" w:line="250" w:lineRule="auto"/>
            </w:pPr>
            <w:r>
              <w:rPr>
                <w:rFonts w:ascii="Arial" w:hAnsi="Arial"/>
                <w:b/>
                <w:color w:val="FFFFFF"/>
                <w:sz w:val="18"/>
              </w:rPr>
              <w:t>Параметр</w:t>
            </w:r>
          </w:p>
        </w:tc>
        <w:tc>
          <w:tcPr>
            <w:tcW w:type="dxa" w:w="7483"/>
            <w:vAlign w:val="top"/>
            <w:tcMar>
              <w:top w:w="90" w:type="dxa"/>
              <w:left w:w="90" w:type="dxa"/>
              <w:bottom w:w="90" w:type="dxa"/>
              <w:right w:w="90" w:type="dxa"/>
            </w:tcMar>
            <w:shd w:fill="173D48"/>
          </w:tcPr>
          <w:p>
            <w:pPr>
              <w:spacing w:after="60" w:line="250" w:lineRule="auto"/>
            </w:pPr>
            <w:r>
              <w:rPr>
                <w:rFonts w:ascii="Arial" w:hAnsi="Arial"/>
                <w:b/>
                <w:color w:val="FFFFFF"/>
                <w:sz w:val="18"/>
              </w:rPr>
              <w:t>Значение</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Мастер-строка</w:t>
            </w:r>
          </w:p>
        </w:tc>
        <w:tc>
          <w:tcPr>
            <w:tcW w:type="dxa" w:w="7483"/>
            <w:vAlign w:val="top"/>
            <w:tcMar>
              <w:top w:w="90" w:type="dxa"/>
              <w:left w:w="90" w:type="dxa"/>
              <w:bottom w:w="90" w:type="dxa"/>
              <w:right w:w="90" w:type="dxa"/>
            </w:tcMar>
            <w:shd w:fill="EDF3F4"/>
          </w:tcPr>
          <w:p>
            <w:pPr>
              <w:spacing w:after="60" w:line="250" w:lineRule="auto"/>
            </w:pPr>
            <w:r>
              <w:rPr>
                <w:rFonts w:ascii="Arial" w:hAnsi="Arial"/>
                <w:sz w:val="18"/>
              </w:rPr>
              <w:t>T2-42 — Имперский тибетский переводческий проект и формирование канона. Таблица II; исходный статус B, уверенность 5/5.</w:t>
            </w:r>
          </w:p>
        </w:tc>
      </w:tr>
      <w:tr>
        <w:trPr>
          <w:cantSplit/>
        </w:trPr>
        <w:tc>
          <w:tcPr>
            <w:tcW w:type="dxa" w:w="2268"/>
            <w:vAlign w:val="top"/>
            <w:tcMar>
              <w:top w:w="90" w:type="dxa"/>
              <w:left w:w="90" w:type="dxa"/>
              <w:bottom w:w="90" w:type="dxa"/>
              <w:right w:w="90" w:type="dxa"/>
            </w:tcMar>
            <w:shd w:fill="FFFFFF"/>
          </w:tcPr>
          <w:p>
            <w:pPr>
              <w:spacing w:after="60" w:line="250" w:lineRule="auto"/>
            </w:pPr>
            <w:r>
              <w:rPr>
                <w:rFonts w:ascii="Arial" w:hAnsi="Arial"/>
                <w:sz w:val="18"/>
              </w:rPr>
              <w:t>Историческая рамка</w:t>
            </w:r>
          </w:p>
        </w:tc>
        <w:tc>
          <w:tcPr>
            <w:tcW w:type="dxa" w:w="7483"/>
            <w:vAlign w:val="top"/>
            <w:tcMar>
              <w:top w:w="90" w:type="dxa"/>
              <w:left w:w="90" w:type="dxa"/>
              <w:bottom w:w="90" w:type="dxa"/>
              <w:right w:w="90" w:type="dxa"/>
            </w:tcMar>
            <w:shd w:fill="FFFFFF"/>
          </w:tcPr>
          <w:p>
            <w:pPr>
              <w:spacing w:after="60" w:line="250" w:lineRule="auto"/>
            </w:pPr>
            <w:r>
              <w:rPr>
                <w:rFonts w:ascii="Arial" w:hAnsi="Arial"/>
                <w:sz w:val="18"/>
              </w:rPr>
              <w:t>Формирование: VII–IX вв.; фиксация / перевод: VIII–XI вв.; канонизация / комментарий: XI–XIV вв. Фокус — конец VIII — начало IX в.</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Исходный документ</w:t>
            </w:r>
          </w:p>
        </w:tc>
        <w:tc>
          <w:tcPr>
            <w:tcW w:type="dxa" w:w="7483"/>
            <w:vAlign w:val="top"/>
            <w:tcMar>
              <w:top w:w="90" w:type="dxa"/>
              <w:left w:w="90" w:type="dxa"/>
              <w:bottom w:w="90" w:type="dxa"/>
              <w:right w:w="90" w:type="dxa"/>
            </w:tcMar>
            <w:shd w:fill="EDF3F4"/>
          </w:tcPr>
          <w:p>
            <w:pPr>
              <w:spacing w:after="60" w:line="250" w:lineRule="auto"/>
            </w:pPr>
            <w:r>
              <w:rPr>
                <w:rFonts w:ascii="Arial" w:hAnsi="Arial"/>
                <w:sz w:val="18"/>
              </w:rPr>
              <w:t>ToS Deep Research_ T2-42 — Имперский тибетский переводческий проект и формирование канона(1).docx; прежде всего разделы 6, 16–17 и библиографические подсказки.</w:t>
            </w:r>
          </w:p>
        </w:tc>
      </w:tr>
      <w:tr>
        <w:trPr>
          <w:cantSplit/>
        </w:trPr>
        <w:tc>
          <w:tcPr>
            <w:tcW w:type="dxa" w:w="2268"/>
            <w:vAlign w:val="top"/>
            <w:tcMar>
              <w:top w:w="90" w:type="dxa"/>
              <w:left w:w="90" w:type="dxa"/>
              <w:bottom w:w="90" w:type="dxa"/>
              <w:right w:w="90" w:type="dxa"/>
            </w:tcMar>
            <w:shd w:fill="FFFFFF"/>
          </w:tcPr>
          <w:p>
            <w:pPr>
              <w:spacing w:after="60" w:line="250" w:lineRule="auto"/>
            </w:pPr>
            <w:r>
              <w:rPr>
                <w:rFonts w:ascii="Arial" w:hAnsi="Arial"/>
                <w:sz w:val="18"/>
              </w:rPr>
              <w:t>Дата и поставка</w:t>
            </w:r>
          </w:p>
        </w:tc>
        <w:tc>
          <w:tcPr>
            <w:tcW w:type="dxa" w:w="7483"/>
            <w:vAlign w:val="top"/>
            <w:tcMar>
              <w:top w:w="90" w:type="dxa"/>
              <w:left w:w="90" w:type="dxa"/>
              <w:bottom w:w="90" w:type="dxa"/>
              <w:right w:w="90" w:type="dxa"/>
            </w:tcMar>
            <w:shd w:fill="FFFFFF"/>
          </w:tcPr>
          <w:p>
            <w:pPr>
              <w:spacing w:after="60" w:line="250" w:lineRule="auto"/>
            </w:pPr>
            <w:r>
              <w:rPr>
                <w:rFonts w:ascii="Arial" w:hAnsi="Arial"/>
                <w:sz w:val="18"/>
              </w:rPr>
              <w:t>04.09.2026. Отдельный DOCX-отчёт и один XLSX: registry — 72 записи, gaps — 32 записи. Исходный DR и таблицы не изменены.</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Языки поиска</w:t>
            </w:r>
          </w:p>
        </w:tc>
        <w:tc>
          <w:tcPr>
            <w:tcW w:type="dxa" w:w="7483"/>
            <w:vAlign w:val="top"/>
            <w:tcMar>
              <w:top w:w="90" w:type="dxa"/>
              <w:left w:w="90" w:type="dxa"/>
              <w:bottom w:w="90" w:type="dxa"/>
              <w:right w:w="90" w:type="dxa"/>
            </w:tcMar>
            <w:shd w:fill="EDF3F4"/>
          </w:tcPr>
          <w:p>
            <w:pPr>
              <w:spacing w:after="60" w:line="250" w:lineRule="auto"/>
            </w:pPr>
            <w:r>
              <w:rPr>
                <w:rFonts w:ascii="Arial" w:hAnsi="Arial"/>
                <w:sz w:val="18"/>
              </w:rPr>
              <w:t>Английский; русские, немецкие, французские и японские запросы. Тибетские названия в Wylie, санскритские варианты, Toh/D/P-номера и библиотечные шифры. Китайская и монгольская линии проверялись через конкретные объекты и каталоги, не как самостоятельные полные национальные корпуса.</w:t>
            </w:r>
          </w:p>
        </w:tc>
      </w:tr>
    </w:tbl>
    <w:p>
      <w:pPr>
        <w:spacing w:after="0"/>
      </w:pPr>
    </w:p>
    <w:p>
      <w:r/>
      <w:r>
        <w:rPr>
          <w:b/>
        </w:rPr>
        <w:t>Ядро из DR.</w:t>
      </w:r>
      <w:r>
        <w:t xml:space="preserve"> sGra sbyor bam po gnyis pa / Madhyavyutpatti и Mahāvyutpatti — два разных текста; Denkarma и ’Phang thang ma — два разных ранних каталога. К ним относятся переводческие колофоны, дуньхуанские свидетели, история собирания Kangyur / Tengyur и связанные каталоги Нартанга и Бутона. Утраченные Samyé Chimpuma и Old Narthang учитываются как пробелы сохранности, а не как доступные цифровые книги.</w:t>
      </w:r>
    </w:p>
    <w:p>
      <w:r>
        <w:t>Искались отдельные произведения и корпусные семьи, оригиналы и переводы, критические издания, факсимиле, физические свидетели, транскрипции, машиночитаемые пакеты и необходимые навигационные каталоги. Исследование не включает всю литературу тибетского буддизма: для расширений сохранена конкретная переводческая, каталогическая или текстологическая связь.</w:t>
      </w:r>
    </w:p>
    <w:p>
      <w:r/>
      <w:r>
        <w:rPr>
          <w:b/>
        </w:rPr>
        <w:t>Доступ, идентификация и права разделены.</w:t>
      </w:r>
      <w:r>
        <w:t xml:space="preserve"> Для доступа использованы официальные проекты, библиотеки, издательства, институциональные репозитории и подтверждённая авторская страница. Для идентичности — библиотечные записи, шифры, издательские описания и профильные исследования. Для прав — лицензии конкретного файла или проекта, официальные условия и явные заявления учреждения. Наличие публичного файла само по себе не является доказательством разрешённого зеркалирования.</w:t>
      </w:r>
    </w:p>
    <w:p>
      <w:r>
        <w:t>Wikipedia не включена ни как источник доступа, ни как доказательство метаданных или прав. Единственный кандидат, специально помеченный unverified_candidate, — заявленная сторонним загрузчиком лицензия на переиздание Mahāvyutpatti 1984 года: полномочия загрузчика не подтверждены (G009). Регистрация, покупки, обращения к правообладателям и публикация от имени пользователя не выполнялись.</w:t>
      </w:r>
    </w:p>
    <w:p>
      <w:pPr>
        <w:pStyle w:val="Heading1"/>
      </w:pPr>
      <w:r>
        <w:t>2. Охват корпуса</w:t>
      </w:r>
    </w:p>
    <w:p>
      <w:pPr>
        <w:pStyle w:val="Heading2"/>
      </w:pPr>
      <w:r>
        <w:t>Что перенесено из исходного DR и что добавлено</w:t>
      </w:r>
    </w:p>
    <w:p>
      <w:r>
        <w:t>Основные лексиконы получили несколько независимых входов: DILA, Bibliotheca Polyglotta, библиотечные записи и старое издание Sakaki. Для sGra sbyor обнаружены официальные записи изданий Ishikawa, но доступ к самим PDF встретил ошибку 429. Для Denkarma сохранены современное критическое издание и отдельный ограниченный вход к публикации Yoshimura 1950 года. Для Phangthangma различены тибетское издание 2003 года, статья Kawagoe 2005 года и ещё не раскрытая монография того же года.</w:t>
      </w:r>
      <w:r>
        <w:t xml:space="preserve"> </w:t>
      </w:r>
      <w:hyperlink r:id="rId14">
        <w:r>
          <w:rPr>
            <w:color w:val="176A75"/>
            <w:u w:val="single"/>
          </w:rPr>
          <w:t>[R001]</w:t>
        </w:r>
      </w:hyperlink>
      <w:r>
        <w:t xml:space="preserve"> · </w:t>
      </w:r>
      <w:hyperlink r:id="rId15">
        <w:r>
          <w:rPr>
            <w:color w:val="176A75"/>
            <w:u w:val="single"/>
          </w:rPr>
          <w:t>[R002]</w:t>
        </w:r>
      </w:hyperlink>
      <w:r>
        <w:t xml:space="preserve"> · </w:t>
      </w:r>
      <w:hyperlink r:id="rId16">
        <w:r>
          <w:rPr>
            <w:color w:val="176A75"/>
            <w:u w:val="single"/>
          </w:rPr>
          <w:t>[R003]</w:t>
        </w:r>
      </w:hyperlink>
      <w:r>
        <w:t xml:space="preserve"> · </w:t>
      </w:r>
      <w:hyperlink r:id="rId17">
        <w:r>
          <w:rPr>
            <w:color w:val="176A75"/>
            <w:u w:val="single"/>
          </w:rPr>
          <w:t>[R004]</w:t>
        </w:r>
      </w:hyperlink>
      <w:r>
        <w:t xml:space="preserve"> · </w:t>
      </w:r>
      <w:hyperlink r:id="rId18">
        <w:r>
          <w:rPr>
            <w:color w:val="176A75"/>
            <w:u w:val="single"/>
          </w:rPr>
          <w:t>[R005]</w:t>
        </w:r>
      </w:hyperlink>
      <w:r>
        <w:t xml:space="preserve"> · </w:t>
      </w:r>
      <w:hyperlink r:id="rId19">
        <w:r>
          <w:rPr>
            <w:color w:val="176A75"/>
            <w:u w:val="single"/>
          </w:rPr>
          <w:t>[R006]</w:t>
        </w:r>
      </w:hyperlink>
      <w:r>
        <w:t xml:space="preserve"> · </w:t>
      </w:r>
      <w:hyperlink r:id="rId20">
        <w:r>
          <w:rPr>
            <w:color w:val="176A75"/>
            <w:u w:val="single"/>
          </w:rPr>
          <w:t>[R008]</w:t>
        </w:r>
      </w:hyperlink>
      <w:r>
        <w:t xml:space="preserve"> · </w:t>
      </w:r>
      <w:hyperlink r:id="rId21">
        <w:r>
          <w:rPr>
            <w:color w:val="176A75"/>
            <w:u w:val="single"/>
          </w:rPr>
          <w:t>[R028]</w:t>
        </w:r>
      </w:hyperlink>
      <w:r>
        <w:t xml:space="preserve"> · </w:t>
      </w:r>
      <w:hyperlink r:id="rId22">
        <w:r>
          <w:rPr>
            <w:color w:val="176A75"/>
            <w:u w:val="single"/>
          </w:rPr>
          <w:t>[R029]</w:t>
        </w:r>
      </w:hyperlink>
      <w:r>
        <w:t xml:space="preserve"> · </w:t>
      </w:r>
      <w:hyperlink r:id="rId23">
        <w:r>
          <w:rPr>
            <w:color w:val="176A75"/>
            <w:u w:val="single"/>
          </w:rPr>
          <w:t>[R035]</w:t>
        </w:r>
      </w:hyperlink>
      <w:r>
        <w:t xml:space="preserve"> · </w:t>
      </w:r>
      <w:hyperlink r:id="rId24">
        <w:r>
          <w:rPr>
            <w:color w:val="176A75"/>
            <w:u w:val="single"/>
          </w:rPr>
          <w:t>[R036]</w:t>
        </w:r>
      </w:hyperlink>
      <w:r>
        <w:t xml:space="preserve"> · </w:t>
      </w:r>
      <w:hyperlink r:id="rId25">
        <w:r>
          <w:rPr>
            <w:color w:val="176A75"/>
            <w:u w:val="single"/>
          </w:rPr>
          <w:t>[R071]</w:t>
        </w:r>
      </w:hyperlink>
    </w:p>
    <w:p>
      <w:r>
        <w:t>Существенное расширение веб-поиска — данные переводческих колофонов rKTs, электронные каноны Esukhia, OTDO Pt 999 о копировании сутр, грамматический Sum cu pa, санскритские тексты GRETIL и авторский полный английский перевод вопросов Ваджрасаттвы. Четырёхтомный современный перевод семьи Abhisamayālaṃkāra представлен по отдельным томам; это не четыре новых древних произведения.</w:t>
      </w:r>
      <w:r>
        <w:t xml:space="preserve"> </w:t>
      </w:r>
      <w:hyperlink r:id="rId26">
        <w:r>
          <w:rPr>
            <w:color w:val="176A75"/>
            <w:u w:val="single"/>
          </w:rPr>
          <w:t>[R015]</w:t>
        </w:r>
      </w:hyperlink>
      <w:r>
        <w:t xml:space="preserve"> · </w:t>
      </w:r>
      <w:hyperlink r:id="rId11">
        <w:r>
          <w:rPr>
            <w:color w:val="176A75"/>
            <w:u w:val="single"/>
          </w:rPr>
          <w:t>[R021]</w:t>
        </w:r>
      </w:hyperlink>
      <w:r>
        <w:t xml:space="preserve"> · </w:t>
      </w:r>
      <w:hyperlink r:id="rId27">
        <w:r>
          <w:rPr>
            <w:color w:val="176A75"/>
            <w:u w:val="single"/>
          </w:rPr>
          <w:t>[R024]</w:t>
        </w:r>
      </w:hyperlink>
      <w:r>
        <w:t xml:space="preserve"> · </w:t>
      </w:r>
      <w:hyperlink r:id="rId28">
        <w:r>
          <w:rPr>
            <w:color w:val="176A75"/>
            <w:u w:val="single"/>
          </w:rPr>
          <w:t>[R025]</w:t>
        </w:r>
      </w:hyperlink>
      <w:r>
        <w:t xml:space="preserve"> · </w:t>
      </w:r>
      <w:hyperlink r:id="rId29">
        <w:r>
          <w:rPr>
            <w:color w:val="176A75"/>
            <w:u w:val="single"/>
          </w:rPr>
          <w:t>[R026]</w:t>
        </w:r>
      </w:hyperlink>
      <w:r>
        <w:t xml:space="preserve"> · </w:t>
      </w:r>
      <w:hyperlink r:id="rId12">
        <w:r>
          <w:rPr>
            <w:color w:val="176A75"/>
            <w:u w:val="single"/>
          </w:rPr>
          <w:t>[R032]</w:t>
        </w:r>
      </w:hyperlink>
      <w:r>
        <w:t xml:space="preserve"> · </w:t>
      </w:r>
      <w:hyperlink r:id="rId13">
        <w:r>
          <w:rPr>
            <w:color w:val="176A75"/>
            <w:u w:val="single"/>
          </w:rPr>
          <w:t>[R033]</w:t>
        </w:r>
      </w:hyperlink>
      <w:r>
        <w:t xml:space="preserve"> · </w:t>
      </w:r>
      <w:hyperlink r:id="rId30">
        <w:r>
          <w:rPr>
            <w:color w:val="176A75"/>
            <w:u w:val="single"/>
          </w:rPr>
          <w:t>[R058]</w:t>
        </w:r>
      </w:hyperlink>
      <w:r>
        <w:t xml:space="preserve"> · </w:t>
      </w:r>
      <w:hyperlink r:id="rId31">
        <w:r>
          <w:rPr>
            <w:color w:val="176A75"/>
            <w:u w:val="single"/>
          </w:rPr>
          <w:t>[R031]</w:t>
        </w:r>
      </w:hyperlink>
      <w:r>
        <w:t xml:space="preserve"> · </w:t>
      </w:r>
      <w:hyperlink r:id="rId32">
        <w:r>
          <w:rPr>
            <w:color w:val="176A75"/>
            <w:u w:val="single"/>
          </w:rPr>
          <w:t>[R065]</w:t>
        </w:r>
      </w:hyperlink>
      <w:r>
        <w:t xml:space="preserve"> · </w:t>
      </w:r>
      <w:hyperlink r:id="rId33">
        <w:r>
          <w:rPr>
            <w:color w:val="176A75"/>
            <w:u w:val="single"/>
          </w:rPr>
          <w:t>[R066]</w:t>
        </w:r>
      </w:hyperlink>
      <w:r>
        <w:t xml:space="preserve"> · </w:t>
      </w:r>
      <w:hyperlink r:id="rId34">
        <w:r>
          <w:rPr>
            <w:color w:val="176A75"/>
            <w:u w:val="single"/>
          </w:rPr>
          <w:t>[R067]</w:t>
        </w:r>
      </w:hyperlink>
    </w:p>
    <w:p>
      <w:r>
        <w:t>Для проверки коллективной переводческой работы выделены пять конкретных двуязычных TMX: Toh 156, 705, 503, 551 и 669. Они дают практически иной вход, чем общий портал: тибетский и английский сегменты и колофоны. Toh 923 сохранён отдельно только как метаданные; полный текст в этом запуске не подтверждён. Файлы TMX не названы полными научными публикациями со всем аппаратом.</w:t>
      </w:r>
      <w:r>
        <w:t xml:space="preserve"> </w:t>
      </w:r>
      <w:hyperlink r:id="rId35">
        <w:r>
          <w:rPr>
            <w:color w:val="176A75"/>
            <w:u w:val="single"/>
          </w:rPr>
          <w:t>[R037]</w:t>
        </w:r>
      </w:hyperlink>
      <w:r>
        <w:t xml:space="preserve"> · </w:t>
      </w:r>
      <w:hyperlink r:id="rId36">
        <w:r>
          <w:rPr>
            <w:color w:val="176A75"/>
            <w:u w:val="single"/>
          </w:rPr>
          <w:t>[R038]</w:t>
        </w:r>
      </w:hyperlink>
      <w:r>
        <w:t xml:space="preserve"> · </w:t>
      </w:r>
      <w:hyperlink r:id="rId37">
        <w:r>
          <w:rPr>
            <w:color w:val="176A75"/>
            <w:u w:val="single"/>
          </w:rPr>
          <w:t>[R039]</w:t>
        </w:r>
      </w:hyperlink>
      <w:r>
        <w:t xml:space="preserve"> · </w:t>
      </w:r>
      <w:hyperlink r:id="rId38">
        <w:r>
          <w:rPr>
            <w:color w:val="176A75"/>
            <w:u w:val="single"/>
          </w:rPr>
          <w:t>[R040]</w:t>
        </w:r>
      </w:hyperlink>
      <w:r>
        <w:t xml:space="preserve"> · </w:t>
      </w:r>
      <w:hyperlink r:id="rId39">
        <w:r>
          <w:rPr>
            <w:color w:val="176A75"/>
            <w:u w:val="single"/>
          </w:rPr>
          <w:t>[R041]</w:t>
        </w:r>
      </w:hyperlink>
      <w:r>
        <w:t xml:space="preserve"> · </w:t>
      </w:r>
      <w:hyperlink r:id="rId40">
        <w:r>
          <w:rPr>
            <w:color w:val="176A75"/>
            <w:u w:val="single"/>
          </w:rPr>
          <w:t>[R042]</w:t>
        </w:r>
      </w:hyperlink>
    </w:p>
    <w:p>
      <w:pPr>
        <w:pStyle w:val="Heading2"/>
      </w:pPr>
      <w:r>
        <w:t>Поиск назад: конкретные входящие текстовые семьи</w:t>
      </w:r>
    </w:p>
    <w:p>
      <w:r/>
      <w:r>
        <w:rPr>
          <w:b/>
        </w:rPr>
        <w:t>Abhisamayālaṃkāra и Prajñāpāramitā.</w:t>
      </w:r>
      <w:r>
        <w:t xml:space="preserve"> Коренной трактат, Aṣṭasāhasrikā и комментарий Sāratamā включены не как общий перечень махаянской литературы, а как вход к прямо названной в DR семье и её каталогической классификации. Современный комплект Sparham добавляет комментарии Vimuktisena и Haribhadra. Ранний индийский слой отделён от средневековых комментариев и новых переводов.</w:t>
      </w:r>
      <w:r>
        <w:t xml:space="preserve"> </w:t>
      </w:r>
      <w:hyperlink r:id="rId28">
        <w:r>
          <w:rPr>
            <w:color w:val="176A75"/>
            <w:u w:val="single"/>
          </w:rPr>
          <w:t>[R025]</w:t>
        </w:r>
      </w:hyperlink>
      <w:r>
        <w:t xml:space="preserve"> · </w:t>
      </w:r>
      <w:hyperlink r:id="rId41">
        <w:r>
          <w:rPr>
            <w:color w:val="176A75"/>
            <w:u w:val="single"/>
          </w:rPr>
          <w:t>[R045]</w:t>
        </w:r>
      </w:hyperlink>
      <w:r>
        <w:t xml:space="preserve"> · </w:t>
      </w:r>
      <w:hyperlink r:id="rId42">
        <w:r>
          <w:rPr>
            <w:color w:val="176A75"/>
            <w:u w:val="single"/>
          </w:rPr>
          <w:t>[R068]</w:t>
        </w:r>
      </w:hyperlink>
      <w:r>
        <w:t xml:space="preserve"> · </w:t>
      </w:r>
      <w:hyperlink r:id="rId31">
        <w:r>
          <w:rPr>
            <w:color w:val="176A75"/>
            <w:u w:val="single"/>
          </w:rPr>
          <w:t>[R031]</w:t>
        </w:r>
      </w:hyperlink>
      <w:r>
        <w:t xml:space="preserve"> · </w:t>
      </w:r>
      <w:hyperlink r:id="rId32">
        <w:r>
          <w:rPr>
            <w:color w:val="176A75"/>
            <w:u w:val="single"/>
          </w:rPr>
          <w:t>[R065]</w:t>
        </w:r>
      </w:hyperlink>
      <w:r>
        <w:t xml:space="preserve"> · </w:t>
      </w:r>
      <w:hyperlink r:id="rId33">
        <w:r>
          <w:rPr>
            <w:color w:val="176A75"/>
            <w:u w:val="single"/>
          </w:rPr>
          <w:t>[R066]</w:t>
        </w:r>
      </w:hyperlink>
      <w:r>
        <w:t xml:space="preserve"> · </w:t>
      </w:r>
      <w:hyperlink r:id="rId34">
        <w:r>
          <w:rPr>
            <w:color w:val="176A75"/>
            <w:u w:val="single"/>
          </w:rPr>
          <w:t>[R067]</w:t>
        </w:r>
      </w:hyperlink>
    </w:p>
    <w:p>
      <w:r/>
      <w:r>
        <w:rPr>
          <w:b/>
        </w:rPr>
        <w:t>Laṅkāvatārasūtra.</w:t>
      </w:r>
      <w:r>
        <w:t xml:space="preserve"> Санскритский электронный текст дополняет дуньхуанский билингвальный свидетель Or.8210/S.5603 из DR. Последний не подменён санскритским изданием: его фотографии и права остаются G011. </w:t>
      </w:r>
      <w:r>
        <w:rPr>
          <w:b/>
        </w:rPr>
        <w:t>Abhidharmasamuccaya, Vyākhyāyukti и Vyākhyāyuktiṭīkā</w:t>
      </w:r>
      <w:r>
        <w:t xml:space="preserve"> добавлены благодаря конкретным лексическим и экзегетическим сопоставлениям со sGra sbyor, а не только общему индийскому происхождению. Полные тибетские редакции последних двух ещё требуют поиска.</w:t>
      </w:r>
      <w:r>
        <w:t xml:space="preserve"> </w:t>
      </w:r>
      <w:hyperlink r:id="rId43">
        <w:r>
          <w:rPr>
            <w:color w:val="176A75"/>
            <w:u w:val="single"/>
          </w:rPr>
          <w:t>[R044]</w:t>
        </w:r>
      </w:hyperlink>
      <w:r>
        <w:t xml:space="preserve"> · </w:t>
      </w:r>
      <w:hyperlink r:id="rId44">
        <w:r>
          <w:rPr>
            <w:color w:val="176A75"/>
            <w:u w:val="single"/>
          </w:rPr>
          <w:t>[R069]</w:t>
        </w:r>
      </w:hyperlink>
      <w:r>
        <w:t xml:space="preserve"> · </w:t>
      </w:r>
      <w:hyperlink r:id="rId45">
        <w:r>
          <w:rPr>
            <w:color w:val="176A75"/>
            <w:u w:val="single"/>
          </w:rPr>
          <w:t>[R070]</w:t>
        </w:r>
      </w:hyperlink>
    </w:p>
    <w:p>
      <w:r/>
      <w:r>
        <w:rPr>
          <w:b/>
        </w:rPr>
        <w:t>Bhāvanākrama</w:t>
      </w:r>
      <w:r>
        <w:t xml:space="preserve"> Камалашилы входит как текст непосредственно связанного с имперской передачей автора; проверенный электронный вход относится к первой части, а не ко всем трём. Ratnamegha и китайско-тибетская линия Chos grub / IOL Tib J 625 оставлены как адресные кандидаты G014–G015, поскольку полный поиск конкретных версий не завершён.</w:t>
      </w:r>
      <w:r>
        <w:t xml:space="preserve"> </w:t>
      </w:r>
      <w:hyperlink r:id="rId29">
        <w:r>
          <w:rPr>
            <w:color w:val="176A75"/>
            <w:u w:val="single"/>
          </w:rPr>
          <w:t>[R026]</w:t>
        </w:r>
      </w:hyperlink>
    </w:p>
    <w:p>
      <w:pPr>
        <w:pStyle w:val="Heading2"/>
      </w:pPr>
      <w:r>
        <w:t>Поиск вперёд: передача, комментарии и поздние редакции</w:t>
      </w:r>
    </w:p>
    <w:p>
      <w:r>
        <w:t>Каталог Chomden Rikpé Reldri, лексикографическо-грамматический сборник dBus pa Blo gsal, наставление Сакья-пандиты переводчику Zhang и грамматический «ключ» Ситу-панчена XVIII века расширяют саму переводческую и классификационную линию. Их каталожные входы сохранены, но отсутствие раскрытого цифрового текста не замаскировано тегом free_full_read.</w:t>
      </w:r>
      <w:r>
        <w:t xml:space="preserve"> </w:t>
      </w:r>
      <w:hyperlink r:id="rId46">
        <w:r>
          <w:rPr>
            <w:color w:val="176A75"/>
            <w:u w:val="single"/>
          </w:rPr>
          <w:t>[R046]</w:t>
        </w:r>
      </w:hyperlink>
      <w:r>
        <w:t xml:space="preserve"> · </w:t>
      </w:r>
      <w:hyperlink r:id="rId47">
        <w:r>
          <w:rPr>
            <w:color w:val="176A75"/>
            <w:u w:val="single"/>
          </w:rPr>
          <w:t>[R047]</w:t>
        </w:r>
      </w:hyperlink>
      <w:r>
        <w:t xml:space="preserve"> · </w:t>
      </w:r>
      <w:hyperlink r:id="rId48">
        <w:r>
          <w:rPr>
            <w:color w:val="176A75"/>
            <w:u w:val="single"/>
          </w:rPr>
          <w:t>[R048]</w:t>
        </w:r>
      </w:hyperlink>
      <w:r>
        <w:t xml:space="preserve"> · </w:t>
      </w:r>
      <w:hyperlink r:id="rId49">
        <w:r>
          <w:rPr>
            <w:color w:val="176A75"/>
            <w:u w:val="single"/>
          </w:rPr>
          <w:t>[R049]</w:t>
        </w:r>
      </w:hyperlink>
    </w:p>
    <w:p>
      <w:r>
        <w:t>Поздние Derge, Stog и Narthang включены как конкретные носители переводного канона; поздний Нартанг не отождествляется с утраченным Old Narthang XIV века. Rnying ma rgyud ’bum и Bai ro rgyud ’bum нужны для границ старопереводного корпуса. Издание двух Kīlaya-тантр Cantwell и Mayer — дополнительный первичный вход к этой проблеме, а не общая вторичная литература о школе ньингма.</w:t>
      </w:r>
      <w:r>
        <w:t xml:space="preserve"> </w:t>
      </w:r>
      <w:hyperlink r:id="rId50">
        <w:r>
          <w:rPr>
            <w:color w:val="176A75"/>
            <w:u w:val="single"/>
          </w:rPr>
          <w:t>[R050]</w:t>
        </w:r>
      </w:hyperlink>
      <w:r>
        <w:t xml:space="preserve"> · </w:t>
      </w:r>
      <w:hyperlink r:id="rId51">
        <w:r>
          <w:rPr>
            <w:color w:val="176A75"/>
            <w:u w:val="single"/>
          </w:rPr>
          <w:t>[R051]</w:t>
        </w:r>
      </w:hyperlink>
      <w:r>
        <w:t xml:space="preserve"> · </w:t>
      </w:r>
      <w:hyperlink r:id="rId52">
        <w:r>
          <w:rPr>
            <w:color w:val="176A75"/>
            <w:u w:val="single"/>
          </w:rPr>
          <w:t>[R052]</w:t>
        </w:r>
      </w:hyperlink>
      <w:r>
        <w:t xml:space="preserve"> · </w:t>
      </w:r>
      <w:hyperlink r:id="rId53">
        <w:r>
          <w:rPr>
            <w:color w:val="176A75"/>
            <w:u w:val="single"/>
          </w:rPr>
          <w:t>[R053]</w:t>
        </w:r>
      </w:hyperlink>
      <w:r>
        <w:t xml:space="preserve"> · </w:t>
      </w:r>
      <w:hyperlink r:id="rId54">
        <w:r>
          <w:rPr>
            <w:color w:val="176A75"/>
            <w:u w:val="single"/>
          </w:rPr>
          <w:t>[R054]</w:t>
        </w:r>
      </w:hyperlink>
      <w:r>
        <w:t xml:space="preserve"> · </w:t>
      </w:r>
      <w:hyperlink r:id="rId55">
        <w:r>
          <w:rPr>
            <w:color w:val="176A75"/>
            <w:u w:val="single"/>
          </w:rPr>
          <w:t>[R055]</w:t>
        </w:r>
      </w:hyperlink>
      <w:r>
        <w:t xml:space="preserve"> · </w:t>
      </w:r>
      <w:hyperlink r:id="rId56">
        <w:r>
          <w:rPr>
            <w:color w:val="176A75"/>
            <w:u w:val="single"/>
          </w:rPr>
          <w:t>[R056]</w:t>
        </w:r>
      </w:hyperlink>
      <w:r>
        <w:t xml:space="preserve"> · </w:t>
      </w:r>
      <w:hyperlink r:id="rId57">
        <w:r>
          <w:rPr>
            <w:color w:val="176A75"/>
            <w:u w:val="single"/>
          </w:rPr>
          <w:t>[R057]</w:t>
        </w:r>
      </w:hyperlink>
      <w:r>
        <w:t xml:space="preserve"> · </w:t>
      </w:r>
      <w:hyperlink r:id="rId58">
        <w:r>
          <w:rPr>
            <w:color w:val="176A75"/>
            <w:u w:val="single"/>
          </w:rPr>
          <w:t>[R061]</w:t>
        </w:r>
      </w:hyperlink>
    </w:p>
    <w:p>
      <w:r>
        <w:t>История Бутона и dBa’ bzhed представлены как тексты сохранения и переосмысления переводческо-институциональной памяти. Монгольский рукописный Kangyur первой половины XVII века — прямое продолжение тибетского канонического формата и перевода. Петербургский комплект Ms. Mong. 1–113 идентифицирован институциональной публикацией, но доступ ограничен избранными фотографиями, не всем собранием.</w:t>
      </w:r>
      <w:r>
        <w:t xml:space="preserve"> </w:t>
      </w:r>
      <w:hyperlink r:id="rId59">
        <w:r>
          <w:rPr>
            <w:color w:val="176A75"/>
            <w:u w:val="single"/>
          </w:rPr>
          <w:t>[R027]</w:t>
        </w:r>
      </w:hyperlink>
      <w:r>
        <w:t xml:space="preserve"> · </w:t>
      </w:r>
      <w:hyperlink r:id="rId60">
        <w:r>
          <w:rPr>
            <w:color w:val="176A75"/>
            <w:u w:val="single"/>
          </w:rPr>
          <w:t>[R030]</w:t>
        </w:r>
      </w:hyperlink>
      <w:r>
        <w:t xml:space="preserve"> · </w:t>
      </w:r>
      <w:hyperlink r:id="rId61">
        <w:r>
          <w:rPr>
            <w:color w:val="176A75"/>
            <w:u w:val="single"/>
          </w:rPr>
          <w:t>[R062]</w:t>
        </w:r>
      </w:hyperlink>
      <w:r>
        <w:t xml:space="preserve"> · </w:t>
      </w:r>
      <w:hyperlink r:id="rId62">
        <w:r>
          <w:rPr>
            <w:color w:val="176A75"/>
            <w:u w:val="single"/>
          </w:rPr>
          <w:t>[R063]</w:t>
        </w:r>
      </w:hyperlink>
      <w:r>
        <w:t xml:space="preserve"> · </w:t>
      </w:r>
      <w:hyperlink r:id="rId63">
        <w:r>
          <w:rPr>
            <w:color w:val="176A75"/>
            <w:u w:val="single"/>
          </w:rPr>
          <w:t>[R064]</w:t>
        </w:r>
      </w:hyperlink>
      <w:r>
        <w:t xml:space="preserve"> · </w:t>
      </w:r>
      <w:hyperlink r:id="rId64">
        <w:r>
          <w:rPr>
            <w:color w:val="176A75"/>
            <w:u w:val="single"/>
          </w:rPr>
          <w:t>[R072]</w:t>
        </w:r>
      </w:hyperlink>
    </w:p>
    <w:p>
      <w:pPr>
        <w:pStyle w:val="Heading2"/>
      </w:pPr>
      <w:r>
        <w:t>Количественный итог и предел счёта</w:t>
      </w:r>
    </w:p>
    <w:p>
      <w:r/>
      <w:r>
        <w:rPr>
          <w:b/>
        </w:rPr>
        <w:t>72 записи — это способы доступа, не 72 разных произведения.</w:t>
      </w:r>
      <w:r>
        <w:t xml:space="preserve"> На уровне именованных первичных документов и корпусных семей охвачено около сорока позиций; число приблизительное, поскольку канон и отдельный его член пересекаются, один перевод распространяется несколькими платформами, а одно критическое издание содержит два текста. Тысячи внутренних произведений Kangyur / Tengyur не пересчитаны как самостоятельно проверенные находки.</w:t>
      </w:r>
    </w:p>
    <w:tbl>
      <w:tblPr>
        <w:tblW w:type="auto" w:w="0"/>
        <w:jc w:val="center"/>
        <w:tblLayout w:type="fixed"/>
        <w:tblLook w:firstColumn="1" w:firstRow="1" w:lastColumn="0" w:lastRow="0" w:noHBand="0" w:noVBand="1" w:val="04A0"/>
      </w:tblPr>
      <w:tblGrid>
        <w:gridCol w:w="3402"/>
        <w:gridCol w:w="907"/>
        <w:gridCol w:w="5443"/>
      </w:tblGrid>
      <w:tr>
        <w:trPr>
          <w:cantSplit/>
          <w:tblHeader/>
        </w:trPr>
        <w:tc>
          <w:tcPr>
            <w:tcW w:type="dxa" w:w="3402"/>
            <w:vAlign w:val="top"/>
            <w:tcMar>
              <w:top w:w="90" w:type="dxa"/>
              <w:left w:w="90" w:type="dxa"/>
              <w:bottom w:w="90" w:type="dxa"/>
              <w:right w:w="90" w:type="dxa"/>
            </w:tcMar>
            <w:shd w:fill="173D48"/>
          </w:tcPr>
          <w:p>
            <w:pPr>
              <w:spacing w:after="60" w:line="250" w:lineRule="auto"/>
            </w:pPr>
            <w:r>
              <w:rPr>
                <w:rFonts w:ascii="Arial" w:hAnsi="Arial"/>
                <w:b/>
                <w:color w:val="FFFFFF"/>
                <w:sz w:val="18"/>
              </w:rPr>
              <w:t>Релевантность</w:t>
            </w:r>
          </w:p>
        </w:tc>
        <w:tc>
          <w:tcPr>
            <w:tcW w:type="dxa" w:w="907"/>
            <w:vAlign w:val="top"/>
            <w:tcMar>
              <w:top w:w="90" w:type="dxa"/>
              <w:left w:w="90" w:type="dxa"/>
              <w:bottom w:w="90" w:type="dxa"/>
              <w:right w:w="90" w:type="dxa"/>
            </w:tcMar>
            <w:shd w:fill="173D48"/>
          </w:tcPr>
          <w:p>
            <w:pPr>
              <w:spacing w:after="60" w:line="250" w:lineRule="auto"/>
            </w:pPr>
            <w:r>
              <w:rPr>
                <w:rFonts w:ascii="Arial" w:hAnsi="Arial"/>
                <w:b/>
                <w:color w:val="FFFFFF"/>
                <w:sz w:val="18"/>
              </w:rPr>
              <w:t>Число</w:t>
            </w:r>
          </w:p>
        </w:tc>
        <w:tc>
          <w:tcPr>
            <w:tcW w:type="dxa" w:w="5443"/>
            <w:vAlign w:val="top"/>
            <w:tcMar>
              <w:top w:w="90" w:type="dxa"/>
              <w:left w:w="90" w:type="dxa"/>
              <w:bottom w:w="90" w:type="dxa"/>
              <w:right w:w="90" w:type="dxa"/>
            </w:tcMar>
            <w:shd w:fill="173D48"/>
          </w:tcPr>
          <w:p>
            <w:pPr>
              <w:spacing w:after="60" w:line="250" w:lineRule="auto"/>
            </w:pPr>
            <w:r>
              <w:rPr>
                <w:rFonts w:ascii="Arial" w:hAnsi="Arial"/>
                <w:b/>
                <w:color w:val="FFFFFF"/>
                <w:sz w:val="18"/>
              </w:rPr>
              <w:t>Что означает здесь</w:t>
            </w:r>
          </w:p>
        </w:tc>
      </w:tr>
      <w:tr>
        <w:trPr>
          <w:cantSplit/>
        </w:trPr>
        <w:tc>
          <w:tcPr>
            <w:tcW w:type="dxa" w:w="3402"/>
            <w:vAlign w:val="top"/>
            <w:tcMar>
              <w:top w:w="90" w:type="dxa"/>
              <w:left w:w="90" w:type="dxa"/>
              <w:bottom w:w="90" w:type="dxa"/>
              <w:right w:w="90" w:type="dxa"/>
            </w:tcMar>
            <w:shd w:fill="EDF3F4"/>
          </w:tcPr>
          <w:p>
            <w:pPr>
              <w:spacing w:after="60" w:line="250" w:lineRule="auto"/>
            </w:pPr>
            <w:r>
              <w:rPr>
                <w:rFonts w:ascii="Arial" w:hAnsi="Arial"/>
                <w:sz w:val="18"/>
              </w:rPr>
              <w:t>core</w:t>
            </w:r>
          </w:p>
        </w:tc>
        <w:tc>
          <w:tcPr>
            <w:tcW w:type="dxa" w:w="907"/>
            <w:vAlign w:val="top"/>
            <w:tcMar>
              <w:top w:w="90" w:type="dxa"/>
              <w:left w:w="90" w:type="dxa"/>
              <w:bottom w:w="90" w:type="dxa"/>
              <w:right w:w="90" w:type="dxa"/>
            </w:tcMar>
            <w:shd w:fill="EDF3F4"/>
          </w:tcPr>
          <w:p>
            <w:pPr>
              <w:spacing w:after="60" w:line="250" w:lineRule="auto"/>
            </w:pPr>
            <w:r>
              <w:rPr>
                <w:rFonts w:ascii="Arial" w:hAnsi="Arial"/>
                <w:sz w:val="18"/>
              </w:rPr>
              <w:t>22</w:t>
            </w:r>
          </w:p>
        </w:tc>
        <w:tc>
          <w:tcPr>
            <w:tcW w:type="dxa" w:w="5443"/>
            <w:vAlign w:val="top"/>
            <w:tcMar>
              <w:top w:w="90" w:type="dxa"/>
              <w:left w:w="90" w:type="dxa"/>
              <w:bottom w:w="90" w:type="dxa"/>
              <w:right w:w="90" w:type="dxa"/>
            </w:tcMar>
            <w:shd w:fill="EDF3F4"/>
          </w:tcPr>
          <w:p>
            <w:pPr>
              <w:spacing w:after="60" w:line="250" w:lineRule="auto"/>
            </w:pPr>
            <w:r>
              <w:rPr>
                <w:rFonts w:ascii="Arial" w:hAnsi="Arial"/>
                <w:sz w:val="18"/>
              </w:rPr>
              <w:t>Лексиконы, имперские каталоги, ключевые ранние свидетели и канонические входы.</w:t>
            </w:r>
          </w:p>
        </w:tc>
      </w:tr>
      <w:tr>
        <w:trPr>
          <w:cantSplit/>
        </w:trPr>
        <w:tc>
          <w:tcPr>
            <w:tcW w:type="dxa" w:w="3402"/>
            <w:vAlign w:val="top"/>
            <w:tcMar>
              <w:top w:w="90" w:type="dxa"/>
              <w:left w:w="90" w:type="dxa"/>
              <w:bottom w:w="90" w:type="dxa"/>
              <w:right w:w="90" w:type="dxa"/>
            </w:tcMar>
            <w:shd w:fill="FFFFFF"/>
          </w:tcPr>
          <w:p>
            <w:pPr>
              <w:spacing w:after="60" w:line="250" w:lineRule="auto"/>
            </w:pPr>
            <w:r>
              <w:rPr>
                <w:rFonts w:ascii="Arial" w:hAnsi="Arial"/>
                <w:sz w:val="18"/>
              </w:rPr>
              <w:t>transmission_or_preservation</w:t>
            </w:r>
          </w:p>
        </w:tc>
        <w:tc>
          <w:tcPr>
            <w:tcW w:type="dxa" w:w="907"/>
            <w:vAlign w:val="top"/>
            <w:tcMar>
              <w:top w:w="90" w:type="dxa"/>
              <w:left w:w="90" w:type="dxa"/>
              <w:bottom w:w="90" w:type="dxa"/>
              <w:right w:w="90" w:type="dxa"/>
            </w:tcMar>
            <w:shd w:fill="FFFFFF"/>
          </w:tcPr>
          <w:p>
            <w:pPr>
              <w:spacing w:after="60" w:line="250" w:lineRule="auto"/>
            </w:pPr>
            <w:r>
              <w:rPr>
                <w:rFonts w:ascii="Arial" w:hAnsi="Arial"/>
                <w:sz w:val="18"/>
              </w:rPr>
              <w:t>18</w:t>
            </w:r>
          </w:p>
        </w:tc>
        <w:tc>
          <w:tcPr>
            <w:tcW w:type="dxa" w:w="5443"/>
            <w:vAlign w:val="top"/>
            <w:tcMar>
              <w:top w:w="90" w:type="dxa"/>
              <w:left w:w="90" w:type="dxa"/>
              <w:bottom w:w="90" w:type="dxa"/>
              <w:right w:w="90" w:type="dxa"/>
            </w:tcMar>
            <w:shd w:fill="FFFFFF"/>
          </w:tcPr>
          <w:p>
            <w:pPr>
              <w:spacing w:after="60" w:line="250" w:lineRule="auto"/>
            </w:pPr>
            <w:r>
              <w:rPr>
                <w:rFonts w:ascii="Arial" w:hAnsi="Arial"/>
                <w:sz w:val="18"/>
              </w:rPr>
              <w:t>Поздние носители, переводы и издания, передающие материал строки.</w:t>
            </w:r>
          </w:p>
        </w:tc>
      </w:tr>
      <w:tr>
        <w:trPr>
          <w:cantSplit/>
        </w:trPr>
        <w:tc>
          <w:tcPr>
            <w:tcW w:type="dxa" w:w="3402"/>
            <w:vAlign w:val="top"/>
            <w:tcMar>
              <w:top w:w="90" w:type="dxa"/>
              <w:left w:w="90" w:type="dxa"/>
              <w:bottom w:w="90" w:type="dxa"/>
              <w:right w:w="90" w:type="dxa"/>
            </w:tcMar>
            <w:shd w:fill="EDF3F4"/>
          </w:tcPr>
          <w:p>
            <w:pPr>
              <w:spacing w:after="60" w:line="250" w:lineRule="auto"/>
            </w:pPr>
            <w:r>
              <w:rPr>
                <w:rFonts w:ascii="Arial" w:hAnsi="Arial"/>
                <w:sz w:val="18"/>
              </w:rPr>
              <w:t>same_corpus_or_tradition</w:t>
            </w:r>
          </w:p>
        </w:tc>
        <w:tc>
          <w:tcPr>
            <w:tcW w:type="dxa" w:w="907"/>
            <w:vAlign w:val="top"/>
            <w:tcMar>
              <w:top w:w="90" w:type="dxa"/>
              <w:left w:w="90" w:type="dxa"/>
              <w:bottom w:w="90" w:type="dxa"/>
              <w:right w:w="90" w:type="dxa"/>
            </w:tcMar>
            <w:shd w:fill="EDF3F4"/>
          </w:tcPr>
          <w:p>
            <w:pPr>
              <w:spacing w:after="60" w:line="250" w:lineRule="auto"/>
            </w:pPr>
            <w:r>
              <w:rPr>
                <w:rFonts w:ascii="Arial" w:hAnsi="Arial"/>
                <w:sz w:val="18"/>
              </w:rPr>
              <w:t>6</w:t>
            </w:r>
          </w:p>
        </w:tc>
        <w:tc>
          <w:tcPr>
            <w:tcW w:type="dxa" w:w="5443"/>
            <w:vAlign w:val="top"/>
            <w:tcMar>
              <w:top w:w="90" w:type="dxa"/>
              <w:left w:w="90" w:type="dxa"/>
              <w:bottom w:w="90" w:type="dxa"/>
              <w:right w:w="90" w:type="dxa"/>
            </w:tcMar>
            <w:shd w:fill="EDF3F4"/>
          </w:tcPr>
          <w:p>
            <w:pPr>
              <w:spacing w:after="60" w:line="250" w:lineRule="auto"/>
            </w:pPr>
            <w:r>
              <w:rPr>
                <w:rFonts w:ascii="Arial" w:hAnsi="Arial"/>
                <w:sz w:val="18"/>
              </w:rPr>
              <w:t>Прямые родственники корпуса и переводческо-грамматической традиции.</w:t>
            </w:r>
          </w:p>
        </w:tc>
      </w:tr>
      <w:tr>
        <w:trPr>
          <w:cantSplit/>
        </w:trPr>
        <w:tc>
          <w:tcPr>
            <w:tcW w:type="dxa" w:w="3402"/>
            <w:vAlign w:val="top"/>
            <w:tcMar>
              <w:top w:w="90" w:type="dxa"/>
              <w:left w:w="90" w:type="dxa"/>
              <w:bottom w:w="90" w:type="dxa"/>
              <w:right w:w="90" w:type="dxa"/>
            </w:tcMar>
            <w:shd w:fill="FFFFFF"/>
          </w:tcPr>
          <w:p>
            <w:pPr>
              <w:spacing w:after="60" w:line="250" w:lineRule="auto"/>
            </w:pPr>
            <w:r>
              <w:rPr>
                <w:rFonts w:ascii="Arial" w:hAnsi="Arial"/>
                <w:sz w:val="18"/>
              </w:rPr>
              <w:t>antecedent</w:t>
            </w:r>
          </w:p>
        </w:tc>
        <w:tc>
          <w:tcPr>
            <w:tcW w:type="dxa" w:w="907"/>
            <w:vAlign w:val="top"/>
            <w:tcMar>
              <w:top w:w="90" w:type="dxa"/>
              <w:left w:w="90" w:type="dxa"/>
              <w:bottom w:w="90" w:type="dxa"/>
              <w:right w:w="90" w:type="dxa"/>
            </w:tcMar>
            <w:shd w:fill="FFFFFF"/>
          </w:tcPr>
          <w:p>
            <w:pPr>
              <w:spacing w:after="60" w:line="250" w:lineRule="auto"/>
            </w:pPr>
            <w:r>
              <w:rPr>
                <w:rFonts w:ascii="Arial" w:hAnsi="Arial"/>
                <w:sz w:val="18"/>
              </w:rPr>
              <w:t>5</w:t>
            </w:r>
          </w:p>
        </w:tc>
        <w:tc>
          <w:tcPr>
            <w:tcW w:type="dxa" w:w="5443"/>
            <w:vAlign w:val="top"/>
            <w:tcMar>
              <w:top w:w="90" w:type="dxa"/>
              <w:left w:w="90" w:type="dxa"/>
              <w:bottom w:w="90" w:type="dxa"/>
              <w:right w:w="90" w:type="dxa"/>
            </w:tcMar>
            <w:shd w:fill="FFFFFF"/>
          </w:tcPr>
          <w:p>
            <w:pPr>
              <w:spacing w:after="60" w:line="250" w:lineRule="auto"/>
            </w:pPr>
            <w:r>
              <w:rPr>
                <w:rFonts w:ascii="Arial" w:hAnsi="Arial"/>
                <w:sz w:val="18"/>
              </w:rPr>
              <w:t>Ранние индийские исходные тексты и непосредственно связанная входящая семья.</w:t>
            </w:r>
          </w:p>
        </w:tc>
      </w:tr>
      <w:tr>
        <w:trPr>
          <w:cantSplit/>
        </w:trPr>
        <w:tc>
          <w:tcPr>
            <w:tcW w:type="dxa" w:w="3402"/>
            <w:vAlign w:val="top"/>
            <w:tcMar>
              <w:top w:w="90" w:type="dxa"/>
              <w:left w:w="90" w:type="dxa"/>
              <w:bottom w:w="90" w:type="dxa"/>
              <w:right w:w="90" w:type="dxa"/>
            </w:tcMar>
            <w:shd w:fill="EDF3F4"/>
          </w:tcPr>
          <w:p>
            <w:pPr>
              <w:spacing w:after="60" w:line="250" w:lineRule="auto"/>
            </w:pPr>
            <w:r>
              <w:rPr>
                <w:rFonts w:ascii="Arial" w:hAnsi="Arial"/>
                <w:sz w:val="18"/>
              </w:rPr>
              <w:t>commentary_or_reception</w:t>
            </w:r>
          </w:p>
        </w:tc>
        <w:tc>
          <w:tcPr>
            <w:tcW w:type="dxa" w:w="907"/>
            <w:vAlign w:val="top"/>
            <w:tcMar>
              <w:top w:w="90" w:type="dxa"/>
              <w:left w:w="90" w:type="dxa"/>
              <w:bottom w:w="90" w:type="dxa"/>
              <w:right w:w="90" w:type="dxa"/>
            </w:tcMar>
            <w:shd w:fill="EDF3F4"/>
          </w:tcPr>
          <w:p>
            <w:pPr>
              <w:spacing w:after="60" w:line="250" w:lineRule="auto"/>
            </w:pPr>
            <w:r>
              <w:rPr>
                <w:rFonts w:ascii="Arial" w:hAnsi="Arial"/>
                <w:sz w:val="18"/>
              </w:rPr>
              <w:t>6</w:t>
            </w:r>
          </w:p>
        </w:tc>
        <w:tc>
          <w:tcPr>
            <w:tcW w:type="dxa" w:w="5443"/>
            <w:vAlign w:val="top"/>
            <w:tcMar>
              <w:top w:w="90" w:type="dxa"/>
              <w:left w:w="90" w:type="dxa"/>
              <w:bottom w:w="90" w:type="dxa"/>
              <w:right w:w="90" w:type="dxa"/>
            </w:tcMar>
            <w:shd w:fill="EDF3F4"/>
          </w:tcPr>
          <w:p>
            <w:pPr>
              <w:spacing w:after="60" w:line="250" w:lineRule="auto"/>
            </w:pPr>
            <w:r>
              <w:rPr>
                <w:rFonts w:ascii="Arial" w:hAnsi="Arial"/>
                <w:sz w:val="18"/>
              </w:rPr>
              <w:t>Комментарии, советы переводчику и связанные экзегетические тексты.</w:t>
            </w:r>
          </w:p>
        </w:tc>
      </w:tr>
      <w:tr>
        <w:trPr>
          <w:cantSplit/>
        </w:trPr>
        <w:tc>
          <w:tcPr>
            <w:tcW w:type="dxa" w:w="3402"/>
            <w:vAlign w:val="top"/>
            <w:tcMar>
              <w:top w:w="90" w:type="dxa"/>
              <w:left w:w="90" w:type="dxa"/>
              <w:bottom w:w="90" w:type="dxa"/>
              <w:right w:w="90" w:type="dxa"/>
            </w:tcMar>
            <w:shd w:fill="FFFFFF"/>
          </w:tcPr>
          <w:p>
            <w:pPr>
              <w:spacing w:after="60" w:line="250" w:lineRule="auto"/>
            </w:pPr>
            <w:r>
              <w:rPr>
                <w:rFonts w:ascii="Arial" w:hAnsi="Arial"/>
                <w:sz w:val="18"/>
              </w:rPr>
              <w:t>continuation</w:t>
            </w:r>
          </w:p>
        </w:tc>
        <w:tc>
          <w:tcPr>
            <w:tcW w:type="dxa" w:w="907"/>
            <w:vAlign w:val="top"/>
            <w:tcMar>
              <w:top w:w="90" w:type="dxa"/>
              <w:left w:w="90" w:type="dxa"/>
              <w:bottom w:w="90" w:type="dxa"/>
              <w:right w:w="90" w:type="dxa"/>
            </w:tcMar>
            <w:shd w:fill="FFFFFF"/>
          </w:tcPr>
          <w:p>
            <w:pPr>
              <w:spacing w:after="60" w:line="250" w:lineRule="auto"/>
            </w:pPr>
            <w:r>
              <w:rPr>
                <w:rFonts w:ascii="Arial" w:hAnsi="Arial"/>
                <w:sz w:val="18"/>
              </w:rPr>
              <w:t>2</w:t>
            </w:r>
          </w:p>
        </w:tc>
        <w:tc>
          <w:tcPr>
            <w:tcW w:type="dxa" w:w="5443"/>
            <w:vAlign w:val="top"/>
            <w:tcMar>
              <w:top w:w="90" w:type="dxa"/>
              <w:left w:w="90" w:type="dxa"/>
              <w:bottom w:w="90" w:type="dxa"/>
              <w:right w:w="90" w:type="dxa"/>
            </w:tcMar>
            <w:shd w:fill="FFFFFF"/>
          </w:tcPr>
          <w:p>
            <w:pPr>
              <w:spacing w:after="60" w:line="250" w:lineRule="auto"/>
            </w:pPr>
            <w:r>
              <w:rPr>
                <w:rFonts w:ascii="Arial" w:hAnsi="Arial"/>
                <w:sz w:val="18"/>
              </w:rPr>
              <w:t>Продолжение терминологической и грамматической работы.</w:t>
            </w:r>
          </w:p>
        </w:tc>
      </w:tr>
      <w:tr>
        <w:trPr>
          <w:cantSplit/>
        </w:trPr>
        <w:tc>
          <w:tcPr>
            <w:tcW w:type="dxa" w:w="3402"/>
            <w:vAlign w:val="top"/>
            <w:tcMar>
              <w:top w:w="90" w:type="dxa"/>
              <w:left w:w="90" w:type="dxa"/>
              <w:bottom w:w="90" w:type="dxa"/>
              <w:right w:w="90" w:type="dxa"/>
            </w:tcMar>
            <w:shd w:fill="EDF3F4"/>
          </w:tcPr>
          <w:p>
            <w:pPr>
              <w:spacing w:after="60" w:line="250" w:lineRule="auto"/>
            </w:pPr>
            <w:r>
              <w:rPr>
                <w:rFonts w:ascii="Arial" w:hAnsi="Arial"/>
                <w:sz w:val="18"/>
              </w:rPr>
              <w:t>supporting</w:t>
            </w:r>
          </w:p>
        </w:tc>
        <w:tc>
          <w:tcPr>
            <w:tcW w:type="dxa" w:w="907"/>
            <w:vAlign w:val="top"/>
            <w:tcMar>
              <w:top w:w="90" w:type="dxa"/>
              <w:left w:w="90" w:type="dxa"/>
              <w:bottom w:w="90" w:type="dxa"/>
              <w:right w:w="90" w:type="dxa"/>
            </w:tcMar>
            <w:shd w:fill="EDF3F4"/>
          </w:tcPr>
          <w:p>
            <w:pPr>
              <w:spacing w:after="60" w:line="250" w:lineRule="auto"/>
            </w:pPr>
            <w:r>
              <w:rPr>
                <w:rFonts w:ascii="Arial" w:hAnsi="Arial"/>
                <w:sz w:val="18"/>
              </w:rPr>
              <w:t>4</w:t>
            </w:r>
          </w:p>
        </w:tc>
        <w:tc>
          <w:tcPr>
            <w:tcW w:type="dxa" w:w="5443"/>
            <w:vAlign w:val="top"/>
            <w:tcMar>
              <w:top w:w="90" w:type="dxa"/>
              <w:left w:w="90" w:type="dxa"/>
              <w:bottom w:w="90" w:type="dxa"/>
              <w:right w:w="90" w:type="dxa"/>
            </w:tcMar>
            <w:shd w:fill="EDF3F4"/>
          </w:tcPr>
          <w:p>
            <w:pPr>
              <w:spacing w:after="60" w:line="250" w:lineRule="auto"/>
            </w:pPr>
            <w:r>
              <w:rPr>
                <w:rFonts w:ascii="Arial" w:hAnsi="Arial"/>
                <w:sz w:val="18"/>
              </w:rPr>
              <w:t>Институциональные, административные и эпиграфические свидетельства.</w:t>
            </w:r>
          </w:p>
        </w:tc>
      </w:tr>
      <w:tr>
        <w:trPr>
          <w:cantSplit/>
        </w:trPr>
        <w:tc>
          <w:tcPr>
            <w:tcW w:type="dxa" w:w="3402"/>
            <w:vAlign w:val="top"/>
            <w:tcMar>
              <w:top w:w="90" w:type="dxa"/>
              <w:left w:w="90" w:type="dxa"/>
              <w:bottom w:w="90" w:type="dxa"/>
              <w:right w:w="90" w:type="dxa"/>
            </w:tcMar>
            <w:shd w:fill="FFFFFF"/>
          </w:tcPr>
          <w:p>
            <w:pPr>
              <w:spacing w:after="60" w:line="250" w:lineRule="auto"/>
            </w:pPr>
            <w:r>
              <w:rPr>
                <w:rFonts w:ascii="Arial" w:hAnsi="Arial"/>
                <w:sz w:val="18"/>
              </w:rPr>
              <w:t>infrastructure / secondary_navigation</w:t>
            </w:r>
          </w:p>
        </w:tc>
        <w:tc>
          <w:tcPr>
            <w:tcW w:type="dxa" w:w="907"/>
            <w:vAlign w:val="top"/>
            <w:tcMar>
              <w:top w:w="90" w:type="dxa"/>
              <w:left w:w="90" w:type="dxa"/>
              <w:bottom w:w="90" w:type="dxa"/>
              <w:right w:w="90" w:type="dxa"/>
            </w:tcMar>
            <w:shd w:fill="FFFFFF"/>
          </w:tcPr>
          <w:p>
            <w:pPr>
              <w:spacing w:after="60" w:line="250" w:lineRule="auto"/>
            </w:pPr>
            <w:r>
              <w:rPr>
                <w:rFonts w:ascii="Arial" w:hAnsi="Arial"/>
                <w:sz w:val="18"/>
              </w:rPr>
              <w:t>8 / 1</w:t>
            </w:r>
          </w:p>
        </w:tc>
        <w:tc>
          <w:tcPr>
            <w:tcW w:type="dxa" w:w="5443"/>
            <w:vAlign w:val="top"/>
            <w:tcMar>
              <w:top w:w="90" w:type="dxa"/>
              <w:left w:w="90" w:type="dxa"/>
              <w:bottom w:w="90" w:type="dxa"/>
              <w:right w:w="90" w:type="dxa"/>
            </w:tcMar>
            <w:shd w:fill="FFFFFF"/>
          </w:tcPr>
          <w:p>
            <w:pPr>
              <w:spacing w:after="60" w:line="250" w:lineRule="auto"/>
            </w:pPr>
            <w:r>
              <w:rPr>
                <w:rFonts w:ascii="Arial" w:hAnsi="Arial"/>
                <w:sz w:val="18"/>
              </w:rPr>
              <w:t>Пакеты, каталоги и сервисы; один самостоятельный исследовательский навигатор.</w:t>
            </w:r>
          </w:p>
        </w:tc>
      </w:tr>
    </w:tbl>
    <w:p>
      <w:pPr>
        <w:spacing w:after="0"/>
      </w:pPr>
    </w:p>
    <w:p>
      <w:pPr>
        <w:pStyle w:val="Small"/>
      </w:pPr>
      <w:r>
        <w:t>boundary не использован: поздняя дата сама по себе не превращает прямое продолжение в «соседний» объект. По режимам доступа получены 39 записей free_full_read, 24 free_download, 22 metadata_only, 7 purchase и 3 preview_or_snippet; значения пересекаются. Девять записей отмечают временно нераскрытые ссылки. Реальная библиотечная выдача ни для одного спорного объекта не подтверждена; флаг CDL или inlibrary не выдан за работающую кнопку Borrow.</w:t>
      </w:r>
    </w:p>
    <w:p>
      <w:pPr>
        <w:pStyle w:val="Heading1"/>
      </w:pPr>
      <w:r>
        <w:t>3. Лучшие пути доступа</w:t>
      </w:r>
    </w:p>
    <w:p>
      <w:pPr>
        <w:pStyle w:val="Heading2"/>
      </w:pPr>
      <w:r>
        <w:t>Лексиконы: Mahāvyutpatti и sGra sbyor</w:t>
      </w:r>
    </w:p>
    <w:p>
      <w:r/>
      <w:r>
        <w:rPr>
          <w:b/>
        </w:rPr>
        <w:t>Mahāvyutpatti: основной бесплатный вход — DILA (R001).</w:t>
      </w:r>
      <w:r>
        <w:t xml:space="preserve"> Это электронный словарь с вариантами выгрузки и санскритско-тибетско-китайским сопоставлением. Форматы и кнопки на странице подтверждены, но все бинарные выгрузки отдельно не тестировались. Bibliotheca Polyglotta даёт альтернативный посекционный вход (R004); полнота всего словаря там не была независимо сверена. Для исторического факсимиле найден том I издания Sakaki 1916 года в институциональной оцифровке Toronto / Robarts на Internet Archive; том II остаётся пробелом.</w:t>
      </w:r>
      <w:r>
        <w:t xml:space="preserve"> </w:t>
      </w:r>
      <w:hyperlink r:id="rId14">
        <w:r>
          <w:rPr>
            <w:color w:val="176A75"/>
            <w:u w:val="single"/>
          </w:rPr>
          <w:t>[R001]</w:t>
        </w:r>
      </w:hyperlink>
      <w:r>
        <w:t xml:space="preserve"> · </w:t>
      </w:r>
      <w:hyperlink r:id="rId17">
        <w:r>
          <w:rPr>
            <w:color w:val="176A75"/>
            <w:u w:val="single"/>
          </w:rPr>
          <w:t>[R004]</w:t>
        </w:r>
      </w:hyperlink>
      <w:r>
        <w:t xml:space="preserve"> · </w:t>
      </w:r>
      <w:hyperlink r:id="rId22">
        <w:r>
          <w:rPr>
            <w:color w:val="176A75"/>
            <w:u w:val="single"/>
          </w:rPr>
          <w:t>[R029]</w:t>
        </w:r>
      </w:hyperlink>
    </w:p>
    <w:p>
      <w:r>
        <w:t>У DILA есть осторожное заявление «We believe this text is in the public domain», а не безоговорочная открытая лицензия на все слои издания. Поэтому это лучший практический вход к словарю, но не автоматическое разрешение на зеркалирование. Старые английские словарные издания Csoma / Ross / Vidyabhusana требуют проверки именно оригинальной публикации и полного состава, а не прав на современный репринт (G008–G010).</w:t>
      </w:r>
      <w:r>
        <w:t xml:space="preserve"> </w:t>
      </w:r>
      <w:hyperlink r:id="rId14">
        <w:r>
          <w:rPr>
            <w:color w:val="176A75"/>
            <w:u w:val="single"/>
          </w:rPr>
          <w:t>[R001]</w:t>
        </w:r>
      </w:hyperlink>
    </w:p>
    <w:p>
      <w:r/>
      <w:r>
        <w:rPr>
          <w:b/>
        </w:rPr>
        <w:t>sGra sbyor: бесплатный тибетский вход — Polyglotta (R002), научный контроль — Ishikawa.</w:t>
      </w:r>
      <w:r>
        <w:t xml:space="preserve"> Английский материал R003 ограничен вводными частями и колофоном; он не объявлен полным переводом. Издания Ishikawa 1990 и 1993 годов обнаружены в официальном Toyo Bunko, однако PDF не удалось открыть из-за 429. Библиотечная запись сохранена независимо от этого сбоя. Tsetan 2024 даёт новые декретные и рукописные данные и отрывки, но не заменяет полное критическое издание.</w:t>
      </w:r>
      <w:r>
        <w:t xml:space="preserve"> </w:t>
      </w:r>
      <w:hyperlink r:id="rId15">
        <w:r>
          <w:rPr>
            <w:color w:val="176A75"/>
            <w:u w:val="single"/>
          </w:rPr>
          <w:t>[R002]</w:t>
        </w:r>
      </w:hyperlink>
      <w:r>
        <w:t xml:space="preserve"> · </w:t>
      </w:r>
      <w:hyperlink r:id="rId16">
        <w:r>
          <w:rPr>
            <w:color w:val="176A75"/>
            <w:u w:val="single"/>
          </w:rPr>
          <w:t>[R003]</w:t>
        </w:r>
      </w:hyperlink>
      <w:r>
        <w:t xml:space="preserve"> · </w:t>
      </w:r>
      <w:hyperlink r:id="rId18">
        <w:r>
          <w:rPr>
            <w:color w:val="176A75"/>
            <w:u w:val="single"/>
          </w:rPr>
          <w:t>[R005]</w:t>
        </w:r>
      </w:hyperlink>
      <w:r>
        <w:t xml:space="preserve"> · </w:t>
      </w:r>
      <w:hyperlink r:id="rId65">
        <w:r>
          <w:rPr>
            <w:color w:val="176A75"/>
            <w:u w:val="single"/>
          </w:rPr>
          <w:t>[R009]</w:t>
        </w:r>
      </w:hyperlink>
      <w:r>
        <w:t xml:space="preserve"> · </w:t>
      </w:r>
      <w:hyperlink r:id="rId23">
        <w:r>
          <w:rPr>
            <w:color w:val="176A75"/>
            <w:u w:val="single"/>
          </w:rPr>
          <w:t>[R035]</w:t>
        </w:r>
      </w:hyperlink>
      <w:r>
        <w:t xml:space="preserve"> · </w:t>
      </w:r>
      <w:hyperlink r:id="rId24">
        <w:r>
          <w:rPr>
            <w:color w:val="176A75"/>
            <w:u w:val="single"/>
          </w:rPr>
          <w:t>[R036]</w:t>
        </w:r>
      </w:hyperlink>
    </w:p>
    <w:p>
      <w:r>
        <w:t>Для собственного перевода полного sGra sbyor пока не установлена столь же чистая цифровая основа, как для открытого оригинала GRETIL: остаются авторские права редакции и конкретного электронного текста. Фрагменты Табо и свидетели Tibet Museum требуют item-level шифров, снимков и прав; приведённая в статье фотография не лицензирует весь музейный объект.</w:t>
      </w:r>
      <w:r>
        <w:t xml:space="preserve"> </w:t>
      </w:r>
      <w:hyperlink r:id="rId65">
        <w:r>
          <w:rPr>
            <w:color w:val="176A75"/>
            <w:u w:val="single"/>
          </w:rPr>
          <w:t>[R009]</w:t>
        </w:r>
      </w:hyperlink>
    </w:p>
    <w:p>
      <w:pPr>
        <w:pStyle w:val="Heading2"/>
      </w:pPr>
      <w:r>
        <w:t>Имперские каталоги и поздняя библиография</w:t>
      </w:r>
    </w:p>
    <w:p>
      <w:r/>
      <w:r>
        <w:rPr>
          <w:b/>
        </w:rPr>
        <w:t>Denkarma: лучший проверенный современный научный вход — Herrmann-Pfandt, 2008, издательство ÖAW (R008).</w:t>
      </w:r>
      <w:r>
        <w:t xml:space="preserve"> Это путь покупки, а не открытый PDF. Альтернативный исторический вход — публикация Yoshimura / Ryukoku 1950 года, страницы 101–199, в записи BDRC / Internet Archive W18619. В ней указаны ограничения авторского права и CDL, но доступная выдача и файлы не подтверждены: R071 остаётся metadata / preview. Полный свободный тибетский текст с проверенными границами D 4364 ещё нужен.</w:t>
      </w:r>
      <w:r>
        <w:t xml:space="preserve"> </w:t>
      </w:r>
      <w:hyperlink r:id="rId20">
        <w:r>
          <w:rPr>
            <w:color w:val="176A75"/>
            <w:u w:val="single"/>
          </w:rPr>
          <w:t>[R008]</w:t>
        </w:r>
      </w:hyperlink>
      <w:r>
        <w:t xml:space="preserve"> · </w:t>
      </w:r>
      <w:hyperlink r:id="rId25">
        <w:r>
          <w:rPr>
            <w:color w:val="176A75"/>
            <w:u w:val="single"/>
          </w:rPr>
          <w:t>[R071]</w:t>
        </w:r>
      </w:hyperlink>
    </w:p>
    <w:p>
      <w:r/>
      <w:r>
        <w:rPr>
          <w:b/>
        </w:rPr>
        <w:t>Phangthangma: издание 2003 года подтверждено библиотечной записью; BDRC MW26008 не раскрыл полнотекстовый объект.</w:t>
      </w:r>
      <w:r>
        <w:t xml:space="preserve"> Статья Kawagoe 2005 года в JATS, страницы 115–131, пригодна для ознакомления и идентификации, но не является одноимённой полной монографией. Это существенное различение двух публикаций, а не два варианта доступа к одной книге.</w:t>
      </w:r>
      <w:r>
        <w:t xml:space="preserve"> </w:t>
      </w:r>
      <w:hyperlink r:id="rId19">
        <w:r>
          <w:rPr>
            <w:color w:val="176A75"/>
            <w:u w:val="single"/>
          </w:rPr>
          <w:t>[R006]</w:t>
        </w:r>
      </w:hyperlink>
      <w:r>
        <w:t xml:space="preserve"> · </w:t>
      </w:r>
      <w:hyperlink r:id="rId66">
        <w:r>
          <w:rPr>
            <w:color w:val="176A75"/>
            <w:u w:val="single"/>
          </w:rPr>
          <w:t>[R007]</w:t>
        </w:r>
      </w:hyperlink>
      <w:r>
        <w:t xml:space="preserve"> · </w:t>
      </w:r>
      <w:hyperlink r:id="rId21">
        <w:r>
          <w:rPr>
            <w:color w:val="176A75"/>
            <w:u w:val="single"/>
          </w:rPr>
          <w:t>[R028]</w:t>
        </w:r>
      </w:hyperlink>
    </w:p>
    <w:p>
      <w:r>
        <w:t>Поздние каталоги Chomden и переводческая лексикография dBus pa Blo gsal, Сакья-пандиты и Ситу-панчена пока лучше представлены устойчивыми BDRC-идентификаторами, чем подтверждёнными файлами. Эти записи полезны для адресного поиска и заказа в библиотеке, но не должны запускать скачивание «по умолчанию».</w:t>
      </w:r>
      <w:r>
        <w:t xml:space="preserve"> </w:t>
      </w:r>
      <w:hyperlink r:id="rId46">
        <w:r>
          <w:rPr>
            <w:color w:val="176A75"/>
            <w:u w:val="single"/>
          </w:rPr>
          <w:t>[R046]</w:t>
        </w:r>
      </w:hyperlink>
      <w:r>
        <w:t xml:space="preserve"> · </w:t>
      </w:r>
      <w:hyperlink r:id="rId47">
        <w:r>
          <w:rPr>
            <w:color w:val="176A75"/>
            <w:u w:val="single"/>
          </w:rPr>
          <w:t>[R047]</w:t>
        </w:r>
      </w:hyperlink>
      <w:r>
        <w:t xml:space="preserve"> · </w:t>
      </w:r>
      <w:hyperlink r:id="rId48">
        <w:r>
          <w:rPr>
            <w:color w:val="176A75"/>
            <w:u w:val="single"/>
          </w:rPr>
          <w:t>[R048]</w:t>
        </w:r>
      </w:hyperlink>
      <w:r>
        <w:t xml:space="preserve"> · </w:t>
      </w:r>
      <w:hyperlink r:id="rId49">
        <w:r>
          <w:rPr>
            <w:color w:val="176A75"/>
            <w:u w:val="single"/>
          </w:rPr>
          <w:t>[R049]</w:t>
        </w:r>
      </w:hyperlink>
    </w:p>
    <w:p>
      <w:pPr>
        <w:pStyle w:val="Heading2"/>
      </w:pPr>
      <w:r>
        <w:t>Kangyur / Tengyur: текст, сканы и данные</w:t>
      </w:r>
    </w:p>
    <w:p>
      <w:r/>
      <w:r>
        <w:rPr>
          <w:b/>
        </w:rPr>
        <w:t>Для машиночитаемого тибетского текста лучшие проверенные входы — Esukhia Derge Kangyur и Derge Tengyur (R032–R033).</w:t>
      </w:r>
      <w:r>
        <w:t xml:space="preserve"> Репозитории содержат электронные тексты и заявляют общественное достояние воспроизводимого канонического слоя. В Kangyur отдельно отмечен отсутствующий том 103, поэтому весь канон не назван полностью покрытым. Пакеты не были побайтово сверены со всеми печатными томами; coverage остаётся substantial_part. Заявление об электронном тексте не распространяется на сканы любых других репозиториев.</w:t>
      </w:r>
      <w:r>
        <w:t xml:space="preserve"> </w:t>
      </w:r>
      <w:hyperlink r:id="rId12">
        <w:r>
          <w:rPr>
            <w:color w:val="176A75"/>
            <w:u w:val="single"/>
          </w:rPr>
          <w:t>[R032]</w:t>
        </w:r>
      </w:hyperlink>
      <w:r>
        <w:t xml:space="preserve"> · </w:t>
      </w:r>
      <w:hyperlink r:id="rId13">
        <w:r>
          <w:rPr>
            <w:color w:val="176A75"/>
            <w:u w:val="single"/>
          </w:rPr>
          <w:t>[R033]</w:t>
        </w:r>
      </w:hyperlink>
    </w:p>
    <w:p>
      <w:r/>
      <w:r>
        <w:rPr>
          <w:b/>
        </w:rPr>
        <w:t>Для сопоставлений и колофонов — rKTs (R021), с CC0 для данных репозитория.</w:t>
      </w:r>
      <w:r>
        <w:t xml:space="preserve"> Это особенно пригодная основа метаданных ToS, а не источник права на все канонические изображения. Отдельные BDRC-записи Derge Kangyur / Tengyur, Stog, Narthang и старопереводных собраний сохранены как специфические входы к рецензиям, однако открывавшаяся оболочка сайта не доказывала доступность полного скана.</w:t>
      </w:r>
      <w:r>
        <w:t xml:space="preserve"> </w:t>
      </w:r>
      <w:hyperlink r:id="rId11">
        <w:r>
          <w:rPr>
            <w:color w:val="176A75"/>
            <w:u w:val="single"/>
          </w:rPr>
          <w:t>[R021]</w:t>
        </w:r>
      </w:hyperlink>
      <w:r>
        <w:t xml:space="preserve"> · </w:t>
      </w:r>
      <w:hyperlink r:id="rId50">
        <w:r>
          <w:rPr>
            <w:color w:val="176A75"/>
            <w:u w:val="single"/>
          </w:rPr>
          <w:t>[R050]</w:t>
        </w:r>
      </w:hyperlink>
      <w:r>
        <w:t xml:space="preserve"> · </w:t>
      </w:r>
      <w:hyperlink r:id="rId51">
        <w:r>
          <w:rPr>
            <w:color w:val="176A75"/>
            <w:u w:val="single"/>
          </w:rPr>
          <w:t>[R051]</w:t>
        </w:r>
      </w:hyperlink>
      <w:r>
        <w:t xml:space="preserve"> · </w:t>
      </w:r>
      <w:hyperlink r:id="rId52">
        <w:r>
          <w:rPr>
            <w:color w:val="176A75"/>
            <w:u w:val="single"/>
          </w:rPr>
          <w:t>[R052]</w:t>
        </w:r>
      </w:hyperlink>
      <w:r>
        <w:t xml:space="preserve"> · </w:t>
      </w:r>
      <w:hyperlink r:id="rId53">
        <w:r>
          <w:rPr>
            <w:color w:val="176A75"/>
            <w:u w:val="single"/>
          </w:rPr>
          <w:t>[R053]</w:t>
        </w:r>
      </w:hyperlink>
      <w:r>
        <w:t xml:space="preserve"> · </w:t>
      </w:r>
      <w:hyperlink r:id="rId54">
        <w:r>
          <w:rPr>
            <w:color w:val="176A75"/>
            <w:u w:val="single"/>
          </w:rPr>
          <w:t>[R054]</w:t>
        </w:r>
      </w:hyperlink>
      <w:r>
        <w:t xml:space="preserve"> · </w:t>
      </w:r>
      <w:hyperlink r:id="rId55">
        <w:r>
          <w:rPr>
            <w:color w:val="176A75"/>
            <w:u w:val="single"/>
          </w:rPr>
          <w:t>[R055]</w:t>
        </w:r>
      </w:hyperlink>
      <w:r>
        <w:t xml:space="preserve"> · </w:t>
      </w:r>
      <w:hyperlink r:id="rId56">
        <w:r>
          <w:rPr>
            <w:color w:val="176A75"/>
            <w:u w:val="single"/>
          </w:rPr>
          <w:t>[R056]</w:t>
        </w:r>
      </w:hyperlink>
      <w:r>
        <w:t xml:space="preserve"> · </w:t>
      </w:r>
      <w:hyperlink r:id="rId57">
        <w:r>
          <w:rPr>
            <w:color w:val="176A75"/>
            <w:u w:val="single"/>
          </w:rPr>
          <w:t>[R057]</w:t>
        </w:r>
      </w:hyperlink>
    </w:p>
    <w:p>
      <w:r/>
      <w:r>
        <w:rPr>
          <w:b/>
        </w:rPr>
        <w:t>Tibetan Works (R034)</w:t>
      </w:r>
      <w:r>
        <w:t xml:space="preserve"> — дополнительный сервис чтения: официально описаны 500 страниц в день без аккаунта, 2000 после бесплатной регистрации и институциональный доступ. Регистрация не выполнялась. Документация MCP отмечена как техническая возможность сервиса, но подключение и правомерность массового извлечения не тестировались. Наличие API или MCP не расширяет лицензию текста.</w:t>
      </w:r>
      <w:r>
        <w:t xml:space="preserve"> </w:t>
      </w:r>
      <w:hyperlink r:id="rId67">
        <w:r>
          <w:rPr>
            <w:color w:val="176A75"/>
            <w:u w:val="single"/>
          </w:rPr>
          <w:t>[R034]</w:t>
        </w:r>
      </w:hyperlink>
    </w:p>
    <w:p>
      <w:pPr>
        <w:pStyle w:val="Heading2"/>
      </w:pPr>
      <w:r>
        <w:t>84000: современные переводы и проверяемые колофоны</w:t>
      </w:r>
    </w:p>
    <w:p>
      <w:r>
        <w:t xml:space="preserve">Наиболее предметные двуязычные входы в этом пакете — </w:t>
      </w:r>
      <w:r>
        <w:rPr>
          <w:b/>
        </w:rPr>
        <w:t>Anavatapta, Toh 156; 108 имён Avalokiteśvara [1], Toh 705; устремления семи Татхагат, Toh 503; хвала Mañjuśrī, Toh 551; дхарани Mahākāla, Toh 669</w:t>
      </w:r>
      <w:r>
        <w:t>. TMX полезны для параллельного чтения и анализа терминологии. В Toh 503 особенно важен колофон, называющий переводческую команду и новую языковую нормализацию. Это конкретная связь с темой имперского проекта.</w:t>
      </w:r>
      <w:r>
        <w:t xml:space="preserve"> </w:t>
      </w:r>
      <w:hyperlink r:id="rId35">
        <w:r>
          <w:rPr>
            <w:color w:val="176A75"/>
            <w:u w:val="single"/>
          </w:rPr>
          <w:t>[R037]</w:t>
        </w:r>
      </w:hyperlink>
      <w:r>
        <w:t xml:space="preserve"> · </w:t>
      </w:r>
      <w:hyperlink r:id="rId36">
        <w:r>
          <w:rPr>
            <w:color w:val="176A75"/>
            <w:u w:val="single"/>
          </w:rPr>
          <w:t>[R038]</w:t>
        </w:r>
      </w:hyperlink>
      <w:r>
        <w:t xml:space="preserve"> · </w:t>
      </w:r>
      <w:hyperlink r:id="rId37">
        <w:r>
          <w:rPr>
            <w:color w:val="176A75"/>
            <w:u w:val="single"/>
          </w:rPr>
          <w:t>[R039]</w:t>
        </w:r>
      </w:hyperlink>
      <w:r>
        <w:t xml:space="preserve"> · </w:t>
      </w:r>
      <w:hyperlink r:id="rId38">
        <w:r>
          <w:rPr>
            <w:color w:val="176A75"/>
            <w:u w:val="single"/>
          </w:rPr>
          <w:t>[R040]</w:t>
        </w:r>
      </w:hyperlink>
      <w:r>
        <w:t xml:space="preserve"> · </w:t>
      </w:r>
      <w:hyperlink r:id="rId39">
        <w:r>
          <w:rPr>
            <w:color w:val="176A75"/>
            <w:u w:val="single"/>
          </w:rPr>
          <w:t>[R041]</w:t>
        </w:r>
      </w:hyperlink>
    </w:p>
    <w:p>
      <w:r>
        <w:t>Оригинальная читательская страница и проверенный TMX — не тождественные цифровые объекты. Наличие перевода в каталоге не означает проверку всего аппарата и всех форматов Reading Room. Поэтому для этих записей сохранены точные файлы, переводчики и версии; R042 / Toh 923 не поднят выше metadata_only. Общие TEI, TMX и RDF-пакеты включены по одному, без размножения каждого внутреннего файла в отдельный «корпус».</w:t>
      </w:r>
      <w:r>
        <w:t xml:space="preserve"> </w:t>
      </w:r>
      <w:hyperlink r:id="rId68">
        <w:r>
          <w:rPr>
            <w:color w:val="176A75"/>
            <w:u w:val="single"/>
          </w:rPr>
          <w:t>[R013]</w:t>
        </w:r>
      </w:hyperlink>
      <w:r>
        <w:t xml:space="preserve"> · </w:t>
      </w:r>
      <w:hyperlink r:id="rId69">
        <w:r>
          <w:rPr>
            <w:color w:val="176A75"/>
            <w:u w:val="single"/>
          </w:rPr>
          <w:t>[R014]</w:t>
        </w:r>
      </w:hyperlink>
      <w:r>
        <w:t xml:space="preserve"> · </w:t>
      </w:r>
      <w:hyperlink r:id="rId35">
        <w:r>
          <w:rPr>
            <w:color w:val="176A75"/>
            <w:u w:val="single"/>
          </w:rPr>
          <w:t>[R037]</w:t>
        </w:r>
      </w:hyperlink>
      <w:r>
        <w:t xml:space="preserve"> · </w:t>
      </w:r>
      <w:hyperlink r:id="rId40">
        <w:r>
          <w:rPr>
            <w:color w:val="176A75"/>
            <w:u w:val="single"/>
          </w:rPr>
          <w:t>[R042]</w:t>
        </w:r>
      </w:hyperlink>
      <w:r>
        <w:t xml:space="preserve"> · </w:t>
      </w:r>
      <w:hyperlink r:id="rId70">
        <w:r>
          <w:rPr>
            <w:color w:val="176A75"/>
            <w:u w:val="single"/>
          </w:rPr>
          <w:t>[R043]</w:t>
        </w:r>
      </w:hyperlink>
    </w:p>
    <w:p>
      <w:r>
        <w:t>По доступности это один из лучших современных английских входов; по повторному использованию — зона ручной проверки. Конфликт лицензионных уведомлений изложен ниже и не разрешён предположением, что «всё у 84000 открыто».</w:t>
      </w:r>
      <w:r>
        <w:t xml:space="preserve"> </w:t>
      </w:r>
      <w:hyperlink r:id="rId68">
        <w:r>
          <w:rPr>
            <w:color w:val="176A75"/>
            <w:u w:val="single"/>
          </w:rPr>
          <w:t>[R013]</w:t>
        </w:r>
      </w:hyperlink>
      <w:r>
        <w:t xml:space="preserve"> · </w:t>
      </w:r>
      <w:hyperlink r:id="rId69">
        <w:r>
          <w:rPr>
            <w:color w:val="176A75"/>
            <w:u w:val="single"/>
          </w:rPr>
          <w:t>[R014]</w:t>
        </w:r>
      </w:hyperlink>
      <w:r>
        <w:t xml:space="preserve"> · </w:t>
      </w:r>
      <w:hyperlink r:id="rId70">
        <w:r>
          <w:rPr>
            <w:color w:val="176A75"/>
            <w:u w:val="single"/>
          </w:rPr>
          <w:t>[R043]</w:t>
        </w:r>
      </w:hyperlink>
    </w:p>
    <w:p>
      <w:pPr>
        <w:pStyle w:val="Heading2"/>
      </w:pPr>
      <w:r>
        <w:t>Ранние свидетели: OTDO, Дуньхуан и dBa’ bzhed</w:t>
      </w:r>
    </w:p>
    <w:p>
      <w:r/>
      <w:r>
        <w:rPr>
          <w:b/>
        </w:rPr>
        <w:t>OTDO</w:t>
      </w:r>
      <w:r>
        <w:t xml:space="preserve"> даёт конкретные транскрипции: Pt 999, IOL Tib J 750 и Pt 1288 с анналами, надпись Самье, договор 821–822 годов и фрагмент dBa’ bzhed. Pt 999 особенно полезен как короткий документ организации копирования сутр. Анналы и эпиграфика служат институциональным контекстом, не выдаются за самостоятельные философские трактаты. Доступная транскрипция отделена от изображения и прав на него.</w:t>
      </w:r>
      <w:r>
        <w:t xml:space="preserve"> </w:t>
      </w:r>
      <w:hyperlink r:id="rId26">
        <w:r>
          <w:rPr>
            <w:color w:val="176A75"/>
            <w:u w:val="single"/>
          </w:rPr>
          <w:t>[R015]</w:t>
        </w:r>
      </w:hyperlink>
      <w:r>
        <w:t xml:space="preserve"> · </w:t>
      </w:r>
      <w:hyperlink r:id="rId71">
        <w:r>
          <w:rPr>
            <w:color w:val="176A75"/>
            <w:u w:val="single"/>
          </w:rPr>
          <w:t>[R016]</w:t>
        </w:r>
      </w:hyperlink>
      <w:r>
        <w:t xml:space="preserve"> · </w:t>
      </w:r>
      <w:hyperlink r:id="rId72">
        <w:r>
          <w:rPr>
            <w:color w:val="176A75"/>
            <w:u w:val="single"/>
          </w:rPr>
          <w:t>[R017]</w:t>
        </w:r>
      </w:hyperlink>
      <w:r>
        <w:t xml:space="preserve"> · </w:t>
      </w:r>
      <w:hyperlink r:id="rId73">
        <w:r>
          <w:rPr>
            <w:color w:val="176A75"/>
            <w:u w:val="single"/>
          </w:rPr>
          <w:t>[R018]</w:t>
        </w:r>
      </w:hyperlink>
      <w:r>
        <w:t xml:space="preserve"> · </w:t>
      </w:r>
      <w:hyperlink r:id="rId74">
        <w:r>
          <w:rPr>
            <w:color w:val="176A75"/>
            <w:u w:val="single"/>
          </w:rPr>
          <w:t>[R019]</w:t>
        </w:r>
      </w:hyperlink>
      <w:r>
        <w:t xml:space="preserve"> · </w:t>
      </w:r>
      <w:hyperlink r:id="rId75">
        <w:r>
          <w:rPr>
            <w:color w:val="176A75"/>
            <w:u w:val="single"/>
          </w:rPr>
          <w:t>[R020]</w:t>
        </w:r>
      </w:hyperlink>
    </w:p>
    <w:p>
      <w:r/>
      <w:r>
        <w:rPr>
          <w:b/>
        </w:rPr>
        <w:t>Вопросы и ответы Ваджрасаттвы / Rdo rje sems dpa’i zhus lan:</w:t>
      </w:r>
      <w:r>
        <w:t xml:space="preserve"> лучший найденный бесплатный перевод — Jacob Dalton, глава в Yoga in Practice, 2011, размещённая на подтверждённой авторской странице. Доступен текст 51 вопроса и колофон, традиционно упоминающий 53. Полнота перевода не устраняет этого текстологического расхождения. IOL Tib J 470 и Pt 837 — свидетели того же произведения, а не два независимых сочинения; страницы IDP не открылись (403). Современный английский перевод защищён, чистая основа для собственного перевода через него не установлена.</w:t>
      </w:r>
      <w:r>
        <w:t xml:space="preserve"> </w:t>
      </w:r>
      <w:hyperlink r:id="rId30">
        <w:r>
          <w:rPr>
            <w:color w:val="176A75"/>
            <w:u w:val="single"/>
          </w:rPr>
          <w:t>[R058]</w:t>
        </w:r>
      </w:hyperlink>
      <w:r>
        <w:t xml:space="preserve"> · </w:t>
      </w:r>
      <w:hyperlink r:id="rId76">
        <w:r>
          <w:rPr>
            <w:color w:val="176A75"/>
            <w:u w:val="single"/>
          </w:rPr>
          <w:t>[R059]</w:t>
        </w:r>
      </w:hyperlink>
      <w:r>
        <w:t xml:space="preserve"> · </w:t>
      </w:r>
      <w:hyperlink r:id="rId77">
        <w:r>
          <w:rPr>
            <w:color w:val="176A75"/>
            <w:u w:val="single"/>
          </w:rPr>
          <w:t>[R060]</w:t>
        </w:r>
      </w:hyperlink>
    </w:p>
    <w:p>
      <w:r/>
      <w:r>
        <w:rPr>
          <w:b/>
        </w:rPr>
        <w:t>dBa’ bzhed:</w:t>
      </w:r>
      <w:r>
        <w:t xml:space="preserve"> бесплатный PDF Wangdu / Diemberger 2000 года обнаружен в Zenodo. Он связан с конкретной публикацией и свидетелем, а не со всеми позднейшими версиями. Открытая лицензия не подтверждена. Параллельная Internet Archive-запись ограничена и не даёт автоматически ни файла, ни выдачи. Namgyal / Zenodo, напротив, предоставляет машиночитаемый OCR-пакет и модели, но отсутствие ясных компонентных прав мешает рекомендовать публичное повторное использование.</w:t>
      </w:r>
      <w:r>
        <w:t xml:space="preserve"> </w:t>
      </w:r>
      <w:hyperlink r:id="rId59">
        <w:r>
          <w:rPr>
            <w:color w:val="176A75"/>
            <w:u w:val="single"/>
          </w:rPr>
          <w:t>[R027]</w:t>
        </w:r>
      </w:hyperlink>
      <w:r>
        <w:t xml:space="preserve"> · </w:t>
      </w:r>
      <w:hyperlink r:id="rId63">
        <w:r>
          <w:rPr>
            <w:color w:val="176A75"/>
            <w:u w:val="single"/>
          </w:rPr>
          <w:t>[R064]</w:t>
        </w:r>
      </w:hyperlink>
      <w:r>
        <w:t xml:space="preserve"> · </w:t>
      </w:r>
      <w:hyperlink r:id="rId78">
        <w:r>
          <w:rPr>
            <w:color w:val="176A75"/>
            <w:u w:val="single"/>
          </w:rPr>
          <w:t>[R022]</w:t>
        </w:r>
      </w:hyperlink>
    </w:p>
    <w:p>
      <w:pPr>
        <w:pStyle w:val="Heading2"/>
      </w:pPr>
      <w:r>
        <w:t>Индийские оригиналы, комментарии и поздние переводы</w:t>
      </w:r>
    </w:p>
    <w:p>
      <w:r/>
      <w:r>
        <w:rPr>
          <w:b/>
        </w:rPr>
        <w:t>GRETIL</w:t>
      </w:r>
      <w:r>
        <w:t xml:space="preserve"> предоставляет прямо лицензированные санскритские оригиналы: Abhisamayālaṃkāra, Laṅkāvatāra, Aṣṭasāhasrikā, Sāratamā и проверенный слой первой Bhāvanākrama. Для них CC BY-NC-SA 4.0 делает некоммерческое использование практически возможным при атрибуции и сохранении условий. Научная редакция и обозначенные восстановления всё равно должны учитываться; открытая лицензия не равна отсутствию текстологических решений. Abhidharmasamuccaya выделена осторожнее: базовое издание не установлено однозначно, есть признаки реконструкции, поэтому безусловного тега собственного перевода нет.</w:t>
      </w:r>
      <w:r>
        <w:t xml:space="preserve"> </w:t>
      </w:r>
      <w:hyperlink r:id="rId28">
        <w:r>
          <w:rPr>
            <w:color w:val="176A75"/>
            <w:u w:val="single"/>
          </w:rPr>
          <w:t>[R025]</w:t>
        </w:r>
      </w:hyperlink>
      <w:r>
        <w:t xml:space="preserve"> · </w:t>
      </w:r>
      <w:hyperlink r:id="rId29">
        <w:r>
          <w:rPr>
            <w:color w:val="176A75"/>
            <w:u w:val="single"/>
          </w:rPr>
          <w:t>[R026]</w:t>
        </w:r>
      </w:hyperlink>
      <w:r>
        <w:t xml:space="preserve"> · </w:t>
      </w:r>
      <w:hyperlink r:id="rId43">
        <w:r>
          <w:rPr>
            <w:color w:val="176A75"/>
            <w:u w:val="single"/>
          </w:rPr>
          <w:t>[R044]</w:t>
        </w:r>
      </w:hyperlink>
      <w:r>
        <w:t xml:space="preserve"> · </w:t>
      </w:r>
      <w:hyperlink r:id="rId41">
        <w:r>
          <w:rPr>
            <w:color w:val="176A75"/>
            <w:u w:val="single"/>
          </w:rPr>
          <w:t>[R045]</w:t>
        </w:r>
      </w:hyperlink>
      <w:r>
        <w:t xml:space="preserve"> · </w:t>
      </w:r>
      <w:hyperlink r:id="rId42">
        <w:r>
          <w:rPr>
            <w:color w:val="176A75"/>
            <w:u w:val="single"/>
          </w:rPr>
          <w:t>[R068]</w:t>
        </w:r>
      </w:hyperlink>
      <w:r>
        <w:t xml:space="preserve"> · </w:t>
      </w:r>
      <w:hyperlink r:id="rId44">
        <w:r>
          <w:rPr>
            <w:color w:val="176A75"/>
            <w:u w:val="single"/>
          </w:rPr>
          <w:t>[R069]</w:t>
        </w:r>
      </w:hyperlink>
    </w:p>
    <w:p>
      <w:r/>
      <w:r>
        <w:rPr>
          <w:b/>
        </w:rPr>
        <w:t>Полная современная комментаторская линия Abhisamayālaṃkāra — четырёхтомный Sparham у Jain Publishing.</w:t>
      </w:r>
      <w:r>
        <w:t xml:space="preserve"> Том I охватывает первое постижение; II — второе и третье; III — четвёртое; IV — пятое–восьмое. Это лучший проверенный платный путь к сочетанию коренного текста, Vimuktisena и Haribhadra. Коренной текст GRETIL не заменяет эти комментарии, а открытая диссертация-кандидат не объявлена эквивалентом всего четырёхтомника.</w:t>
      </w:r>
      <w:r>
        <w:t xml:space="preserve"> </w:t>
      </w:r>
      <w:hyperlink r:id="rId32">
        <w:r>
          <w:rPr>
            <w:color w:val="176A75"/>
            <w:u w:val="single"/>
          </w:rPr>
          <w:t>[R065]</w:t>
        </w:r>
      </w:hyperlink>
      <w:r>
        <w:t xml:space="preserve"> · </w:t>
      </w:r>
      <w:hyperlink r:id="rId31">
        <w:r>
          <w:rPr>
            <w:color w:val="176A75"/>
            <w:u w:val="single"/>
          </w:rPr>
          <w:t>[R031]</w:t>
        </w:r>
      </w:hyperlink>
      <w:r>
        <w:t xml:space="preserve"> · </w:t>
      </w:r>
      <w:hyperlink r:id="rId33">
        <w:r>
          <w:rPr>
            <w:color w:val="176A75"/>
            <w:u w:val="single"/>
          </w:rPr>
          <w:t>[R066]</w:t>
        </w:r>
      </w:hyperlink>
      <w:r>
        <w:t xml:space="preserve"> · </w:t>
      </w:r>
      <w:hyperlink r:id="rId34">
        <w:r>
          <w:rPr>
            <w:color w:val="176A75"/>
            <w:u w:val="single"/>
          </w:rPr>
          <w:t>[R067]</w:t>
        </w:r>
      </w:hyperlink>
    </w:p>
    <w:p>
      <w:r/>
      <w:r>
        <w:rPr>
          <w:b/>
        </w:rPr>
        <w:t>Vyākhyāyukti / Vyākhyāyuktiṭīkā:</w:t>
      </w:r>
      <w:r>
        <w:t xml:space="preserve"> статья Horiuchi 2023 года даёт открытые выбранные тибетские места и собственные переводы с CC BY 4.0. Это полезный первичный фрагментарный слой для сопоставления со sGra sbyor. Лицензия не перенесена автоматически на процитированные переводы Nance или Ueno и не создаёт свободного полного издания обоих трактатов.</w:t>
      </w:r>
      <w:r>
        <w:t xml:space="preserve"> </w:t>
      </w:r>
      <w:hyperlink r:id="rId45">
        <w:r>
          <w:rPr>
            <w:color w:val="176A75"/>
            <w:u w:val="single"/>
          </w:rPr>
          <w:t>[R070]</w:t>
        </w:r>
      </w:hyperlink>
    </w:p>
    <w:p>
      <w:r/>
      <w:r>
        <w:rPr>
          <w:b/>
        </w:rPr>
        <w:t>Бутон:</w:t>
      </w:r>
      <w:r>
        <w:t xml:space="preserve"> современный перевод Lisa Stein / Ngawang Zangpo, 2013, сохранён как официальная покупка; издательский отрывок о Нагарджуне — только preview. Старый английский Obermiller, часть I, 1931, доступен в институциональной оцифровке Digital Library of India на Internet Archive с явным заявлением In Public Domain. Оно относится к этой публикации и требует юрисдикционной осторожности; часть II не считается найденной и проверенной.</w:t>
      </w:r>
      <w:r>
        <w:t xml:space="preserve"> </w:t>
      </w:r>
      <w:hyperlink r:id="rId60">
        <w:r>
          <w:rPr>
            <w:color w:val="176A75"/>
            <w:u w:val="single"/>
          </w:rPr>
          <w:t>[R030]</w:t>
        </w:r>
      </w:hyperlink>
      <w:r>
        <w:t xml:space="preserve"> · </w:t>
      </w:r>
      <w:hyperlink r:id="rId62">
        <w:r>
          <w:rPr>
            <w:color w:val="176A75"/>
            <w:u w:val="single"/>
          </w:rPr>
          <w:t>[R063]</w:t>
        </w:r>
      </w:hyperlink>
      <w:r>
        <w:t xml:space="preserve"> · </w:t>
      </w:r>
      <w:hyperlink r:id="rId61">
        <w:r>
          <w:rPr>
            <w:color w:val="176A75"/>
            <w:u w:val="single"/>
          </w:rPr>
          <w:t>[R062]</w:t>
        </w:r>
      </w:hyperlink>
    </w:p>
    <w:p>
      <w:r/>
      <w:r>
        <w:rPr>
          <w:b/>
        </w:rPr>
        <w:t>Старые тантры:</w:t>
      </w:r>
      <w:r>
        <w:t xml:space="preserve"> официальная страница Cantwell / Mayer подтверждает издание The Kīlaya Nirvāṇa Tantra and the Vajra Wrath Tantra, 2007, BKGA 55. Это платное современное критическое издание двух первичных текстов; свободная лицензия реконструкций и аппарата не установлена. Для монгольского Kangyur лучшим подтверждённым входом остаётся институциональная карточка-исследование с избранными фотографиями и конкретным шифром, а не полное факсимиле.</w:t>
      </w:r>
      <w:r>
        <w:t xml:space="preserve"> </w:t>
      </w:r>
      <w:hyperlink r:id="rId58">
        <w:r>
          <w:rPr>
            <w:color w:val="176A75"/>
            <w:u w:val="single"/>
          </w:rPr>
          <w:t>[R061]</w:t>
        </w:r>
      </w:hyperlink>
      <w:r>
        <w:t xml:space="preserve"> · </w:t>
      </w:r>
      <w:hyperlink r:id="rId64">
        <w:r>
          <w:rPr>
            <w:color w:val="176A75"/>
            <w:u w:val="single"/>
          </w:rPr>
          <w:t>[R072]</w:t>
        </w:r>
      </w:hyperlink>
    </w:p>
    <w:p>
      <w:pPr>
        <w:pStyle w:val="Heading1"/>
      </w:pPr>
      <w:r>
        <w:t>4. Карта прав и практического использования</w:t>
      </w:r>
    </w:p>
    <w:p>
      <w:r>
        <w:t xml:space="preserve">Теги XLSX — </w:t>
      </w:r>
      <w:r>
        <w:rPr>
          <w:b/>
        </w:rPr>
        <w:t>решения для указанного цифрового слоя и объёма</w:t>
      </w:r>
      <w:r>
        <w:t>, а не универсальная лицензия на произведение. LINK_OK означает возможность дать законную внешнюю ссылку. FREE_READ и FREE_DOWNLOAD описывают доступ, а не право ToS опубликовать копию. LOCAL_RESEARCH_COPY не следует читать как разрешение на массовую загрузку, обход ограничений или публичную выдачу файла.</w:t>
      </w:r>
    </w:p>
    <w:tbl>
      <w:tblPr>
        <w:tblW w:type="auto" w:w="0"/>
        <w:jc w:val="center"/>
        <w:tblLayout w:type="fixed"/>
        <w:tblLook w:firstColumn="1" w:firstRow="1" w:lastColumn="0" w:lastRow="0" w:noHBand="0" w:noVBand="1" w:val="04A0"/>
      </w:tblPr>
      <w:tblGrid>
        <w:gridCol w:w="2268"/>
        <w:gridCol w:w="4025"/>
        <w:gridCol w:w="3458"/>
      </w:tblGrid>
      <w:tr>
        <w:trPr>
          <w:cantSplit/>
          <w:tblHeader/>
        </w:trPr>
        <w:tc>
          <w:tcPr>
            <w:tcW w:type="dxa" w:w="2268"/>
            <w:vAlign w:val="top"/>
            <w:tcMar>
              <w:top w:w="90" w:type="dxa"/>
              <w:left w:w="90" w:type="dxa"/>
              <w:bottom w:w="90" w:type="dxa"/>
              <w:right w:w="90" w:type="dxa"/>
            </w:tcMar>
            <w:shd w:fill="173D48"/>
          </w:tcPr>
          <w:p>
            <w:pPr>
              <w:spacing w:after="60" w:line="250" w:lineRule="auto"/>
            </w:pPr>
            <w:r>
              <w:rPr>
                <w:rFonts w:ascii="Arial" w:hAnsi="Arial"/>
                <w:b/>
                <w:color w:val="FFFFFF"/>
                <w:sz w:val="18"/>
              </w:rPr>
              <w:t>Группа</w:t>
            </w:r>
          </w:p>
        </w:tc>
        <w:tc>
          <w:tcPr>
            <w:tcW w:type="dxa" w:w="4025"/>
            <w:vAlign w:val="top"/>
            <w:tcMar>
              <w:top w:w="90" w:type="dxa"/>
              <w:left w:w="90" w:type="dxa"/>
              <w:bottom w:w="90" w:type="dxa"/>
              <w:right w:w="90" w:type="dxa"/>
            </w:tcMar>
            <w:shd w:fill="173D48"/>
          </w:tcPr>
          <w:p>
            <w:pPr>
              <w:spacing w:after="60" w:line="250" w:lineRule="auto"/>
            </w:pPr>
            <w:r>
              <w:rPr>
                <w:rFonts w:ascii="Arial" w:hAnsi="Arial"/>
                <w:b/>
                <w:color w:val="FFFFFF"/>
                <w:sz w:val="18"/>
              </w:rPr>
              <w:t>Допустимый практический маршрут</w:t>
            </w:r>
          </w:p>
        </w:tc>
        <w:tc>
          <w:tcPr>
            <w:tcW w:type="dxa" w:w="3458"/>
            <w:vAlign w:val="top"/>
            <w:tcMar>
              <w:top w:w="90" w:type="dxa"/>
              <w:left w:w="90" w:type="dxa"/>
              <w:bottom w:w="90" w:type="dxa"/>
              <w:right w:w="90" w:type="dxa"/>
            </w:tcMar>
            <w:shd w:fill="173D48"/>
          </w:tcPr>
          <w:p>
            <w:pPr>
              <w:spacing w:after="60" w:line="250" w:lineRule="auto"/>
            </w:pPr>
            <w:r>
              <w:rPr>
                <w:rFonts w:ascii="Arial" w:hAnsi="Arial"/>
                <w:b/>
                <w:color w:val="FFFFFF"/>
                <w:sz w:val="18"/>
              </w:rPr>
              <w:t>Ограничение</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rKTs, R021</w:t>
            </w:r>
          </w:p>
        </w:tc>
        <w:tc>
          <w:tcPr>
            <w:tcW w:type="dxa" w:w="4025"/>
            <w:vAlign w:val="top"/>
            <w:tcMar>
              <w:top w:w="90" w:type="dxa"/>
              <w:left w:w="90" w:type="dxa"/>
              <w:bottom w:w="90" w:type="dxa"/>
              <w:right w:w="90" w:type="dxa"/>
            </w:tcMar>
            <w:shd w:fill="EDF3F4"/>
          </w:tcPr>
          <w:p>
            <w:pPr>
              <w:spacing w:after="60" w:line="250" w:lineRule="auto"/>
            </w:pPr>
            <w:r>
              <w:rPr>
                <w:rFonts w:ascii="Arial" w:hAnsi="Arial"/>
                <w:sz w:val="18"/>
              </w:rPr>
              <w:t>CC0: повторное использование метаданных и колофонов; локальный индекс и embeddings для этого слоя.</w:t>
            </w:r>
          </w:p>
        </w:tc>
        <w:tc>
          <w:tcPr>
            <w:tcW w:type="dxa" w:w="3458"/>
            <w:vAlign w:val="top"/>
            <w:tcMar>
              <w:top w:w="90" w:type="dxa"/>
              <w:left w:w="90" w:type="dxa"/>
              <w:bottom w:w="90" w:type="dxa"/>
              <w:right w:w="90" w:type="dxa"/>
            </w:tcMar>
            <w:shd w:fill="EDF3F4"/>
          </w:tcPr>
          <w:p>
            <w:pPr>
              <w:spacing w:after="60" w:line="250" w:lineRule="auto"/>
            </w:pPr>
            <w:r>
              <w:rPr>
                <w:rFonts w:ascii="Arial" w:hAnsi="Arial"/>
                <w:sz w:val="18"/>
              </w:rPr>
              <w:t>Не распространяется на изображения BDRC / TMPV и полные тексты сторонних проектов.</w:t>
            </w:r>
          </w:p>
        </w:tc>
      </w:tr>
      <w:tr>
        <w:trPr>
          <w:cantSplit/>
        </w:trPr>
        <w:tc>
          <w:tcPr>
            <w:tcW w:type="dxa" w:w="2268"/>
            <w:vAlign w:val="top"/>
            <w:tcMar>
              <w:top w:w="90" w:type="dxa"/>
              <w:left w:w="90" w:type="dxa"/>
              <w:bottom w:w="90" w:type="dxa"/>
              <w:right w:w="90" w:type="dxa"/>
            </w:tcMar>
            <w:shd w:fill="FFFFFF"/>
          </w:tcPr>
          <w:p>
            <w:pPr>
              <w:spacing w:after="60" w:line="250" w:lineRule="auto"/>
            </w:pPr>
            <w:r>
              <w:rPr>
                <w:rFonts w:ascii="Arial" w:hAnsi="Arial"/>
                <w:sz w:val="18"/>
              </w:rPr>
              <w:t>Esukhia, R032–R033</w:t>
            </w:r>
          </w:p>
        </w:tc>
        <w:tc>
          <w:tcPr>
            <w:tcW w:type="dxa" w:w="4025"/>
            <w:vAlign w:val="top"/>
            <w:tcMar>
              <w:top w:w="90" w:type="dxa"/>
              <w:left w:w="90" w:type="dxa"/>
              <w:bottom w:w="90" w:type="dxa"/>
              <w:right w:w="90" w:type="dxa"/>
            </w:tcMar>
            <w:shd w:fill="FFFFFF"/>
          </w:tcPr>
          <w:p>
            <w:pPr>
              <w:spacing w:after="60" w:line="250" w:lineRule="auto"/>
            </w:pPr>
            <w:r>
              <w:rPr>
                <w:rFonts w:ascii="Arial" w:hAnsi="Arial"/>
                <w:sz w:val="18"/>
              </w:rPr>
              <w:t>Потенциальное зеркало, полнотекстовый индекс, embeddings и собственный перевод воспроизводимого тибетского электронного слоя.</w:t>
            </w:r>
          </w:p>
        </w:tc>
        <w:tc>
          <w:tcPr>
            <w:tcW w:type="dxa" w:w="3458"/>
            <w:vAlign w:val="top"/>
            <w:tcMar>
              <w:top w:w="90" w:type="dxa"/>
              <w:left w:w="90" w:type="dxa"/>
              <w:bottom w:w="90" w:type="dxa"/>
              <w:right w:w="90" w:type="dxa"/>
            </w:tcMar>
            <w:shd w:fill="FFFFFF"/>
          </w:tcPr>
          <w:p>
            <w:pPr>
              <w:spacing w:after="60" w:line="250" w:lineRule="auto"/>
            </w:pPr>
            <w:r>
              <w:rPr>
                <w:rFonts w:ascii="Arial" w:hAnsi="Arial"/>
                <w:sz w:val="18"/>
              </w:rPr>
              <w:t>Заявление Public Domain; уверенность medium. Kangyur без тома 103, полнота пакетов не сверена; не сканы.</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GRETIL, R025–R026, R044–R045, R068</w:t>
            </w:r>
          </w:p>
        </w:tc>
        <w:tc>
          <w:tcPr>
            <w:tcW w:type="dxa" w:w="4025"/>
            <w:vAlign w:val="top"/>
            <w:tcMar>
              <w:top w:w="90" w:type="dxa"/>
              <w:left w:w="90" w:type="dxa"/>
              <w:bottom w:w="90" w:type="dxa"/>
              <w:right w:w="90" w:type="dxa"/>
            </w:tcMar>
            <w:shd w:fill="EDF3F4"/>
          </w:tcPr>
          <w:p>
            <w:pPr>
              <w:spacing w:after="60" w:line="250" w:lineRule="auto"/>
            </w:pPr>
            <w:r>
              <w:rPr>
                <w:rFonts w:ascii="Arial" w:hAnsi="Arial"/>
                <w:sz w:val="18"/>
              </w:rPr>
              <w:t>Некоммерческое распространение и переработка по CC BY-NC-SA 4.0; атрибуция, ссылка на лицензию, обозначение изменений, ShareAlike.</w:t>
            </w:r>
          </w:p>
        </w:tc>
        <w:tc>
          <w:tcPr>
            <w:tcW w:type="dxa" w:w="3458"/>
            <w:vAlign w:val="top"/>
            <w:tcMar>
              <w:top w:w="90" w:type="dxa"/>
              <w:left w:w="90" w:type="dxa"/>
              <w:bottom w:w="90" w:type="dxa"/>
              <w:right w:w="90" w:type="dxa"/>
            </w:tcMar>
            <w:shd w:fill="EDF3F4"/>
          </w:tcPr>
          <w:p>
            <w:pPr>
              <w:spacing w:after="60" w:line="250" w:lineRule="auto"/>
            </w:pPr>
            <w:r>
              <w:rPr>
                <w:rFonts w:ascii="Arial" w:hAnsi="Arial"/>
                <w:sz w:val="18"/>
              </w:rPr>
              <w:t>Только указанная электронная редакция. Для Bhāvanākrama — проверенная первая часть.</w:t>
            </w:r>
          </w:p>
        </w:tc>
      </w:tr>
      <w:tr>
        <w:trPr>
          <w:cantSplit/>
        </w:trPr>
        <w:tc>
          <w:tcPr>
            <w:tcW w:type="dxa" w:w="2268"/>
            <w:vAlign w:val="top"/>
            <w:tcMar>
              <w:top w:w="90" w:type="dxa"/>
              <w:left w:w="90" w:type="dxa"/>
              <w:bottom w:w="90" w:type="dxa"/>
              <w:right w:w="90" w:type="dxa"/>
            </w:tcMar>
            <w:shd w:fill="FFFFFF"/>
          </w:tcPr>
          <w:p>
            <w:pPr>
              <w:spacing w:after="60" w:line="250" w:lineRule="auto"/>
            </w:pPr>
            <w:r>
              <w:rPr>
                <w:rFonts w:ascii="Arial" w:hAnsi="Arial"/>
                <w:sz w:val="18"/>
              </w:rPr>
              <w:t>Abhidharmasamuccaya, R069</w:t>
            </w:r>
          </w:p>
        </w:tc>
        <w:tc>
          <w:tcPr>
            <w:tcW w:type="dxa" w:w="4025"/>
            <w:vAlign w:val="top"/>
            <w:tcMar>
              <w:top w:w="90" w:type="dxa"/>
              <w:left w:w="90" w:type="dxa"/>
              <w:bottom w:w="90" w:type="dxa"/>
              <w:right w:w="90" w:type="dxa"/>
            </w:tcMar>
            <w:shd w:fill="FFFFFF"/>
          </w:tcPr>
          <w:p>
            <w:pPr>
              <w:spacing w:after="60" w:line="250" w:lineRule="auto"/>
            </w:pPr>
            <w:r>
              <w:rPr>
                <w:rFonts w:ascii="Arial" w:hAnsi="Arial"/>
                <w:sz w:val="18"/>
              </w:rPr>
              <w:t>Лицензия электронного файла допускает NC-SA использование в своём объёме.</w:t>
            </w:r>
          </w:p>
        </w:tc>
        <w:tc>
          <w:tcPr>
            <w:tcW w:type="dxa" w:w="3458"/>
            <w:vAlign w:val="top"/>
            <w:tcMar>
              <w:top w:w="90" w:type="dxa"/>
              <w:left w:w="90" w:type="dxa"/>
              <w:bottom w:w="90" w:type="dxa"/>
              <w:right w:w="90" w:type="dxa"/>
            </w:tcMar>
            <w:shd w:fill="FFFFFF"/>
          </w:tcPr>
          <w:p>
            <w:pPr>
              <w:spacing w:after="60" w:line="250" w:lineRule="auto"/>
            </w:pPr>
            <w:r>
              <w:rPr>
                <w:rFonts w:ascii="Arial" w:hAnsi="Arial"/>
                <w:sz w:val="18"/>
              </w:rPr>
              <w:t>Современная редакционная / реконструктивная основа неясна; OWN_TRANSLATION_POSSIBLE не присвоен.</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Tsetan 2024, R009</w:t>
            </w:r>
          </w:p>
        </w:tc>
        <w:tc>
          <w:tcPr>
            <w:tcW w:type="dxa" w:w="4025"/>
            <w:vAlign w:val="top"/>
            <w:tcMar>
              <w:top w:w="90" w:type="dxa"/>
              <w:left w:w="90" w:type="dxa"/>
              <w:bottom w:w="90" w:type="dxa"/>
              <w:right w:w="90" w:type="dxa"/>
            </w:tcMar>
            <w:shd w:fill="EDF3F4"/>
          </w:tcPr>
          <w:p>
            <w:pPr>
              <w:spacing w:after="60" w:line="250" w:lineRule="auto"/>
            </w:pPr>
            <w:r>
              <w:rPr>
                <w:rFonts w:ascii="Arial" w:hAnsi="Arial"/>
                <w:sz w:val="18"/>
              </w:rPr>
              <w:t>CC BY-NC-ND 4.0: некоммерческое распространение статьи в неизменённом виде, с атрибуцией.</w:t>
            </w:r>
          </w:p>
        </w:tc>
        <w:tc>
          <w:tcPr>
            <w:tcW w:type="dxa" w:w="3458"/>
            <w:vAlign w:val="top"/>
            <w:tcMar>
              <w:top w:w="90" w:type="dxa"/>
              <w:left w:w="90" w:type="dxa"/>
              <w:bottom w:w="90" w:type="dxa"/>
              <w:right w:w="90" w:type="dxa"/>
            </w:tcMar>
            <w:shd w:fill="EDF3F4"/>
          </w:tcPr>
          <w:p>
            <w:pPr>
              <w:spacing w:after="60" w:line="250" w:lineRule="auto"/>
            </w:pPr>
            <w:r>
              <w:rPr>
                <w:rFonts w:ascii="Arial" w:hAnsi="Arial"/>
                <w:sz w:val="18"/>
              </w:rPr>
              <w:t>Не разрешает свободную переработку перевода или музейных снимков; третьи материалы требуют проверки.</w:t>
            </w:r>
          </w:p>
        </w:tc>
      </w:tr>
      <w:tr>
        <w:trPr>
          <w:cantSplit/>
        </w:trPr>
        <w:tc>
          <w:tcPr>
            <w:tcW w:type="dxa" w:w="2268"/>
            <w:vAlign w:val="top"/>
            <w:tcMar>
              <w:top w:w="90" w:type="dxa"/>
              <w:left w:w="90" w:type="dxa"/>
              <w:bottom w:w="90" w:type="dxa"/>
              <w:right w:w="90" w:type="dxa"/>
            </w:tcMar>
            <w:shd w:fill="FFFFFF"/>
          </w:tcPr>
          <w:p>
            <w:pPr>
              <w:spacing w:after="60" w:line="250" w:lineRule="auto"/>
            </w:pPr>
            <w:r>
              <w:rPr>
                <w:rFonts w:ascii="Arial" w:hAnsi="Arial"/>
                <w:sz w:val="18"/>
              </w:rPr>
              <w:t>Horiuchi 2023, R070</w:t>
            </w:r>
          </w:p>
        </w:tc>
        <w:tc>
          <w:tcPr>
            <w:tcW w:type="dxa" w:w="4025"/>
            <w:vAlign w:val="top"/>
            <w:tcMar>
              <w:top w:w="90" w:type="dxa"/>
              <w:left w:w="90" w:type="dxa"/>
              <w:bottom w:w="90" w:type="dxa"/>
              <w:right w:w="90" w:type="dxa"/>
            </w:tcMar>
            <w:shd w:fill="FFFFFF"/>
          </w:tcPr>
          <w:p>
            <w:pPr>
              <w:spacing w:after="60" w:line="250" w:lineRule="auto"/>
            </w:pPr>
            <w:r>
              <w:rPr>
                <w:rFonts w:ascii="Arial" w:hAnsi="Arial"/>
                <w:sz w:val="18"/>
              </w:rPr>
              <w:t>CC BY 4.0 для собственного текста статьи и авторских компонентов: зеркало, индексация, embeddings в этом объёме.</w:t>
            </w:r>
          </w:p>
        </w:tc>
        <w:tc>
          <w:tcPr>
            <w:tcW w:type="dxa" w:w="3458"/>
            <w:vAlign w:val="top"/>
            <w:tcMar>
              <w:top w:w="90" w:type="dxa"/>
              <w:left w:w="90" w:type="dxa"/>
              <w:bottom w:w="90" w:type="dxa"/>
              <w:right w:w="90" w:type="dxa"/>
            </w:tcMar>
            <w:shd w:fill="FFFFFF"/>
          </w:tcPr>
          <w:p>
            <w:pPr>
              <w:spacing w:after="60" w:line="250" w:lineRule="auto"/>
            </w:pPr>
            <w:r>
              <w:rPr>
                <w:rFonts w:ascii="Arial" w:hAnsi="Arial"/>
                <w:sz w:val="18"/>
              </w:rPr>
              <w:t>Не переносится на чужие цитируемые переводы и все издания Vyākhyāyukti / ṭīkā.</w:t>
            </w:r>
          </w:p>
        </w:tc>
      </w:tr>
      <w:tr>
        <w:trPr>
          <w:cantSplit/>
        </w:trPr>
        <w:tc>
          <w:tcPr>
            <w:tcW w:type="dxa" w:w="2268"/>
            <w:vAlign w:val="top"/>
            <w:tcMar>
              <w:top w:w="90" w:type="dxa"/>
              <w:left w:w="90" w:type="dxa"/>
              <w:bottom w:w="90" w:type="dxa"/>
              <w:right w:w="90" w:type="dxa"/>
            </w:tcMar>
            <w:shd w:fill="EDF3F4"/>
          </w:tcPr>
          <w:p>
            <w:pPr>
              <w:spacing w:after="60" w:line="250" w:lineRule="auto"/>
            </w:pPr>
            <w:r>
              <w:rPr>
                <w:rFonts w:ascii="Arial" w:hAnsi="Arial"/>
                <w:sz w:val="18"/>
              </w:rPr>
              <w:t>84000, R013–R014, R037–R043</w:t>
            </w:r>
          </w:p>
        </w:tc>
        <w:tc>
          <w:tcPr>
            <w:tcW w:type="dxa" w:w="4025"/>
            <w:vAlign w:val="top"/>
            <w:tcMar>
              <w:top w:w="90" w:type="dxa"/>
              <w:left w:w="90" w:type="dxa"/>
              <w:bottom w:w="90" w:type="dxa"/>
              <w:right w:w="90" w:type="dxa"/>
            </w:tcMar>
            <w:shd w:fill="EDF3F4"/>
          </w:tcPr>
          <w:p>
            <w:pPr>
              <w:spacing w:after="60" w:line="250" w:lineRule="auto"/>
            </w:pPr>
            <w:r>
              <w:rPr>
                <w:rFonts w:ascii="Arial" w:hAnsi="Arial"/>
                <w:sz w:val="18"/>
              </w:rPr>
              <w:t>Ссылки, чтение и подтверждённые выгрузки; сохранить provenance и версии.</w:t>
            </w:r>
          </w:p>
        </w:tc>
        <w:tc>
          <w:tcPr>
            <w:tcW w:type="dxa" w:w="3458"/>
            <w:vAlign w:val="top"/>
            <w:tcMar>
              <w:top w:w="90" w:type="dxa"/>
              <w:left w:w="90" w:type="dxa"/>
              <w:bottom w:w="90" w:type="dxa"/>
              <w:right w:w="90" w:type="dxa"/>
            </w:tcMar>
            <w:shd w:fill="EDF3F4"/>
          </w:tcPr>
          <w:p>
            <w:pPr>
              <w:spacing w:after="60" w:line="250" w:lineRule="auto"/>
            </w:pPr>
            <w:r>
              <w:rPr>
                <w:rFonts w:ascii="Arial" w:hAnsi="Arial"/>
                <w:sz w:val="18"/>
              </w:rPr>
              <w:t>Публичное зеркало, индексация и embeddings не рекомендованы автоматически из-за расхождения уведомлений.</w:t>
            </w:r>
          </w:p>
        </w:tc>
      </w:tr>
      <w:tr>
        <w:trPr>
          <w:cantSplit/>
        </w:trPr>
        <w:tc>
          <w:tcPr>
            <w:tcW w:type="dxa" w:w="2268"/>
            <w:vAlign w:val="top"/>
            <w:tcMar>
              <w:top w:w="90" w:type="dxa"/>
              <w:left w:w="90" w:type="dxa"/>
              <w:bottom w:w="90" w:type="dxa"/>
              <w:right w:w="90" w:type="dxa"/>
            </w:tcMar>
            <w:shd w:fill="FFFFFF"/>
          </w:tcPr>
          <w:p>
            <w:pPr>
              <w:spacing w:after="60" w:line="250" w:lineRule="auto"/>
            </w:pPr>
            <w:r>
              <w:rPr>
                <w:rFonts w:ascii="Arial" w:hAnsi="Arial"/>
                <w:sz w:val="18"/>
              </w:rPr>
              <w:t>Каталоги, издания, фотографии</w:t>
            </w:r>
          </w:p>
        </w:tc>
        <w:tc>
          <w:tcPr>
            <w:tcW w:type="dxa" w:w="4025"/>
            <w:vAlign w:val="top"/>
            <w:tcMar>
              <w:top w:w="90" w:type="dxa"/>
              <w:left w:w="90" w:type="dxa"/>
              <w:bottom w:w="90" w:type="dxa"/>
              <w:right w:w="90" w:type="dxa"/>
            </w:tcMar>
            <w:shd w:fill="FFFFFF"/>
          </w:tcPr>
          <w:p>
            <w:pPr>
              <w:spacing w:after="60" w:line="250" w:lineRule="auto"/>
            </w:pPr>
            <w:r>
              <w:rPr>
                <w:rFonts w:ascii="Arial" w:hAnsi="Arial"/>
                <w:sz w:val="18"/>
              </w:rPr>
              <w:t>Read-only, metadata, preview или purchase сохраняются как полезные пути.</w:t>
            </w:r>
          </w:p>
        </w:tc>
        <w:tc>
          <w:tcPr>
            <w:tcW w:type="dxa" w:w="3458"/>
            <w:vAlign w:val="top"/>
            <w:tcMar>
              <w:top w:w="90" w:type="dxa"/>
              <w:left w:w="90" w:type="dxa"/>
              <w:bottom w:w="90" w:type="dxa"/>
              <w:right w:w="90" w:type="dxa"/>
            </w:tcMar>
            <w:shd w:fill="FFFFFF"/>
          </w:tcPr>
          <w:p>
            <w:pPr>
              <w:spacing w:after="60" w:line="250" w:lineRule="auto"/>
            </w:pPr>
            <w:r>
              <w:rPr>
                <w:rFonts w:ascii="Arial" w:hAnsi="Arial"/>
                <w:sz w:val="18"/>
              </w:rPr>
              <w:t>Нет лицензии на повторную публикацию по факту доступности; фото могут иметь самостоятельные ограничения.</w:t>
            </w:r>
          </w:p>
        </w:tc>
      </w:tr>
    </w:tbl>
    <w:p>
      <w:pPr>
        <w:spacing w:after="0"/>
      </w:pPr>
    </w:p>
    <w:p>
      <w:r/>
      <w:r>
        <w:rPr>
          <w:b/>
        </w:rPr>
        <w:t>Смешанные права TMPV.</w:t>
      </w:r>
      <w:r>
        <w:t xml:space="preserve"> Собственные страницы проекта описаны лицензией CC BY-SA 4.0, а предоставленные самим TMPV канонические изображения — отдельными некоммерческими условиями CC BY-NC 4.0. Это не лицензия на любые изображения, на которые ведёт портал. В R023 положительное разрешение ограничено собственным текстом страницы о Namgyal; оно не делает открытым OCR-набор R022 из Zenodo.</w:t>
      </w:r>
      <w:r>
        <w:t xml:space="preserve"> </w:t>
      </w:r>
      <w:hyperlink r:id="rId79">
        <w:r>
          <w:rPr>
            <w:color w:val="176A75"/>
            <w:u w:val="single"/>
          </w:rPr>
          <w:t>[R012]</w:t>
        </w:r>
      </w:hyperlink>
      <w:r>
        <w:t xml:space="preserve"> · </w:t>
      </w:r>
      <w:hyperlink r:id="rId78">
        <w:r>
          <w:rPr>
            <w:color w:val="176A75"/>
            <w:u w:val="single"/>
          </w:rPr>
          <w:t>[R022]</w:t>
        </w:r>
      </w:hyperlink>
      <w:r>
        <w:t xml:space="preserve"> · </w:t>
      </w:r>
      <w:hyperlink r:id="rId80">
        <w:r>
          <w:rPr>
            <w:color w:val="176A75"/>
            <w:u w:val="single"/>
          </w:rPr>
          <w:t>[R023]</w:t>
        </w:r>
      </w:hyperlink>
    </w:p>
    <w:p>
      <w:r/>
      <w:r>
        <w:rPr>
          <w:b/>
        </w:rPr>
        <w:t>DILA, Polyglotta и OTDO</w:t>
      </w:r>
      <w:r>
        <w:t xml:space="preserve"> сохраняют ценный свободный читательский доступ, но открытая лицензия каждого используемого редакционного слоя не установлена одинаково надёжно. GPL программного кода Polyglotta не лицензирует транскрипции и переводы. Авторское размещение главы Dalton подтверждает законный путь чтения, но не разрешает ToS перепечатать перевод. Прямое разрешение на снимки петербургского монгольского Kangyur, полученное CSMC от СПбГУ, также не является разрешением пользователю ToS.</w:t>
      </w:r>
      <w:r>
        <w:t xml:space="preserve"> </w:t>
      </w:r>
      <w:hyperlink r:id="rId14">
        <w:r>
          <w:rPr>
            <w:color w:val="176A75"/>
            <w:u w:val="single"/>
          </w:rPr>
          <w:t>[R001]</w:t>
        </w:r>
      </w:hyperlink>
      <w:r>
        <w:t xml:space="preserve"> · </w:t>
      </w:r>
      <w:hyperlink r:id="rId15">
        <w:r>
          <w:rPr>
            <w:color w:val="176A75"/>
            <w:u w:val="single"/>
          </w:rPr>
          <w:t>[R002]</w:t>
        </w:r>
      </w:hyperlink>
      <w:r>
        <w:t xml:space="preserve"> · </w:t>
      </w:r>
      <w:hyperlink r:id="rId81">
        <w:r>
          <w:rPr>
            <w:color w:val="176A75"/>
            <w:u w:val="single"/>
          </w:rPr>
          <w:t>[R011]</w:t>
        </w:r>
      </w:hyperlink>
      <w:r>
        <w:t xml:space="preserve"> · </w:t>
      </w:r>
      <w:hyperlink r:id="rId30">
        <w:r>
          <w:rPr>
            <w:color w:val="176A75"/>
            <w:u w:val="single"/>
          </w:rPr>
          <w:t>[R058]</w:t>
        </w:r>
      </w:hyperlink>
      <w:r>
        <w:t xml:space="preserve"> · </w:t>
      </w:r>
      <w:hyperlink r:id="rId64">
        <w:r>
          <w:rPr>
            <w:color w:val="176A75"/>
            <w:u w:val="single"/>
          </w:rPr>
          <w:t>[R072]</w:t>
        </w:r>
      </w:hyperlink>
    </w:p>
    <w:p>
      <w:pPr>
        <w:pStyle w:val="Heading2"/>
      </w:pPr>
      <w:r>
        <w:t>Почему 84000 оставлен на ручной проверке</w:t>
      </w:r>
    </w:p>
    <w:p>
      <w:r>
        <w:t xml:space="preserve">В сохранённых официальных материалах обнаружены разные обозначения: README пакетов указывает </w:t>
      </w:r>
      <w:r>
        <w:rPr>
          <w:b/>
        </w:rPr>
        <w:t>CC BY-NC-ND 3.0</w:t>
      </w:r>
      <w:r>
        <w:t xml:space="preserve">; Terms of Use от 14 июня 2023 года описывает для translation-memory / RDF </w:t>
      </w:r>
      <w:r>
        <w:rPr>
          <w:b/>
        </w:rPr>
        <w:t>CC BY 4.0</w:t>
      </w:r>
      <w:r>
        <w:t xml:space="preserve">; item-level RDF содержит </w:t>
      </w:r>
      <w:r>
        <w:rPr>
          <w:b/>
        </w:rPr>
        <w:t>CC0</w:t>
      </w:r>
      <w:r>
        <w:t>. Дополнительно найдена страница условий от 15 мая 2026 года с пометкой DRAFT. Не доказано, какое уведомление юридически заменяет какое и охватывает конкретный файл.</w:t>
      </w:r>
      <w:r>
        <w:t xml:space="preserve"> </w:t>
      </w:r>
      <w:hyperlink r:id="rId68">
        <w:r>
          <w:rPr>
            <w:color w:val="176A75"/>
            <w:u w:val="single"/>
          </w:rPr>
          <w:t>[R013]</w:t>
        </w:r>
      </w:hyperlink>
      <w:r>
        <w:t xml:space="preserve"> · </w:t>
      </w:r>
      <w:hyperlink r:id="rId69">
        <w:r>
          <w:rPr>
            <w:color w:val="176A75"/>
            <w:u w:val="single"/>
          </w:rPr>
          <w:t>[R014]</w:t>
        </w:r>
      </w:hyperlink>
      <w:r>
        <w:t xml:space="preserve"> · </w:t>
      </w:r>
      <w:hyperlink r:id="rId70">
        <w:r>
          <w:rPr>
            <w:color w:val="176A75"/>
            <w:u w:val="single"/>
          </w:rPr>
          <w:t>[R043]</w:t>
        </w:r>
      </w:hyperlink>
    </w:p>
    <w:p>
      <w:r>
        <w:t xml:space="preserve">Официальный текст условий 2023 года: </w:t>
      </w:r>
      <w:hyperlink r:id="rId82">
        <w:r>
          <w:rPr>
            <w:color w:val="176A75"/>
            <w:u w:val="single"/>
          </w:rPr>
          <w:t>84000 / all-data / Terms_of_Use.md</w:t>
        </w:r>
      </w:hyperlink>
    </w:p>
    <w:p>
      <w:r>
        <w:t>Практическое решение: сохранить чтение, загрузку и сведения о версиях, но не выбрать молча самое разрешительное уведомление. Сведения о правах в XLSX описывают конфликт; положительные MIRROR / FULLTEXT_INDEX / EMBEDDINGS для спорных пакетов не поставлены. Это не утверждение, что использование запрещено: это отсутствие достаточного основания для автоматического разрешения.</w:t>
      </w:r>
    </w:p>
    <w:p>
      <w:pPr>
        <w:pStyle w:val="Heading2"/>
      </w:pPr>
      <w:r>
        <w:t>Чистая основа для собственного перевода ToS</w:t>
      </w:r>
    </w:p>
    <w:p>
      <w:r>
        <w:t xml:space="preserve">Условно наиболее чистые установленные основы — </w:t>
      </w:r>
      <w:r>
        <w:rPr>
          <w:b/>
        </w:rPr>
        <w:t>открыто лицензированные оригиналы GRETIL</w:t>
      </w:r>
      <w:r>
        <w:t xml:space="preserve"> и воспроизведённый тибетский канонический текст Esukhia. OWN_TRANSLATION_POSSIBLE присвоен семи записям: R025, R026, R032, R033, R044, R045, R068. Он действует только в пределах coverage: не обещает весь Kangyur по неполному пакету или все три Bhāvanākrama по одному проверенному слою. Производный перевод открытой NC-SA-основы должен учитывать её условия.</w:t>
      </w:r>
      <w:r>
        <w:t xml:space="preserve"> </w:t>
      </w:r>
      <w:hyperlink r:id="rId28">
        <w:r>
          <w:rPr>
            <w:color w:val="176A75"/>
            <w:u w:val="single"/>
          </w:rPr>
          <w:t>[R025]</w:t>
        </w:r>
      </w:hyperlink>
      <w:r>
        <w:t xml:space="preserve"> · </w:t>
      </w:r>
      <w:hyperlink r:id="rId29">
        <w:r>
          <w:rPr>
            <w:color w:val="176A75"/>
            <w:u w:val="single"/>
          </w:rPr>
          <w:t>[R026]</w:t>
        </w:r>
      </w:hyperlink>
      <w:r>
        <w:t xml:space="preserve"> · </w:t>
      </w:r>
      <w:hyperlink r:id="rId12">
        <w:r>
          <w:rPr>
            <w:color w:val="176A75"/>
            <w:u w:val="single"/>
          </w:rPr>
          <w:t>[R032]</w:t>
        </w:r>
      </w:hyperlink>
      <w:r>
        <w:t xml:space="preserve"> · </w:t>
      </w:r>
      <w:hyperlink r:id="rId13">
        <w:r>
          <w:rPr>
            <w:color w:val="176A75"/>
            <w:u w:val="single"/>
          </w:rPr>
          <w:t>[R033]</w:t>
        </w:r>
      </w:hyperlink>
      <w:r>
        <w:t xml:space="preserve"> · </w:t>
      </w:r>
      <w:hyperlink r:id="rId43">
        <w:r>
          <w:rPr>
            <w:color w:val="176A75"/>
            <w:u w:val="single"/>
          </w:rPr>
          <w:t>[R044]</w:t>
        </w:r>
      </w:hyperlink>
      <w:r>
        <w:t xml:space="preserve"> · </w:t>
      </w:r>
      <w:hyperlink r:id="rId41">
        <w:r>
          <w:rPr>
            <w:color w:val="176A75"/>
            <w:u w:val="single"/>
          </w:rPr>
          <w:t>[R045]</w:t>
        </w:r>
      </w:hyperlink>
      <w:r>
        <w:t xml:space="preserve"> · </w:t>
      </w:r>
      <w:hyperlink r:id="rId42">
        <w:r>
          <w:rPr>
            <w:color w:val="176A75"/>
            <w:u w:val="single"/>
          </w:rPr>
          <w:t>[R068]</w:t>
        </w:r>
      </w:hyperlink>
    </w:p>
    <w:p>
      <w:r>
        <w:t>Защищённые современные критические издания, реконструкции, английские переводы-посредники и фотографии с неясными правами не признаны безусловной основой свободно распространяемого перевода. Собственная работа по историческому оригиналу может стать отдельным законным маршрутом, но в этом пакете не заявлена там, где такой оригинал ещё не найден или не раскрыт.</w:t>
      </w:r>
    </w:p>
    <w:p>
      <w:r>
        <w:t>Публичная полнотекстовая индексация и embeddings оценивались отдельно от скачивания и OCR. Там, где лицензия ясно допускает воспроизведение и адаптацию, положительные теги ограничены лицензированным слоем. Для спорных пакетов, авторских современных переводов и ND-статьи автоматическое разрешение на эти действия не выведено из бесплатного доступа.</w:t>
      </w:r>
    </w:p>
    <w:p>
      <w:pPr>
        <w:pStyle w:val="Heading1"/>
      </w:pPr>
      <w:r>
        <w:t>5. Характерные правовые и текстологические тонкости</w:t>
      </w:r>
    </w:p>
    <w:p>
      <w:pPr>
        <w:pStyle w:val="Heading2"/>
      </w:pPr>
      <w:r>
        <w:t>Древний текст, современное издание и цифровая копия</w:t>
      </w:r>
    </w:p>
    <w:p>
      <w:r>
        <w:t>Древность Denkarma не освобождает автоматически издание 1950 или критическую редакцию 2008 года. То же относится к Mahāvyutpatti и новым научным транскрипциям. Электронный набор Esukhia, критическое издание и фотография канонического листа могут иметь разные основания использования, даже когда передают сходный древний материал.</w:t>
      </w:r>
      <w:r>
        <w:t xml:space="preserve"> </w:t>
      </w:r>
      <w:hyperlink r:id="rId14">
        <w:r>
          <w:rPr>
            <w:color w:val="176A75"/>
            <w:u w:val="single"/>
          </w:rPr>
          <w:t>[R001]</w:t>
        </w:r>
      </w:hyperlink>
      <w:r>
        <w:t xml:space="preserve"> · </w:t>
      </w:r>
      <w:hyperlink r:id="rId20">
        <w:r>
          <w:rPr>
            <w:color w:val="176A75"/>
            <w:u w:val="single"/>
          </w:rPr>
          <w:t>[R008]</w:t>
        </w:r>
      </w:hyperlink>
      <w:r>
        <w:t xml:space="preserve"> · </w:t>
      </w:r>
      <w:hyperlink r:id="rId12">
        <w:r>
          <w:rPr>
            <w:color w:val="176A75"/>
            <w:u w:val="single"/>
          </w:rPr>
          <w:t>[R032]</w:t>
        </w:r>
      </w:hyperlink>
      <w:r>
        <w:t xml:space="preserve"> · </w:t>
      </w:r>
      <w:hyperlink r:id="rId25">
        <w:r>
          <w:rPr>
            <w:color w:val="176A75"/>
            <w:u w:val="single"/>
          </w:rPr>
          <w:t>[R071]</w:t>
        </w:r>
      </w:hyperlink>
    </w:p>
    <w:p>
      <w:r>
        <w:t>Общественное достояние в записи старого перевода не приравнено к бесспорному статусу во всех странах. Для Obermiller I есть прямое институциональное заявление; для Sakaki I сохранены дата и происхождение оцифровки, но нет столь же сильного item-level разрешения на все слои. Поэтому обе находки доступны для чтения / загрузки, однако универсальный MIRROR_OK не присвоен. Public Domain Mark, когда он встречается, является обозначением статуса, а не лицензией.</w:t>
      </w:r>
      <w:r>
        <w:t xml:space="preserve"> </w:t>
      </w:r>
      <w:hyperlink r:id="rId22">
        <w:r>
          <w:rPr>
            <w:color w:val="176A75"/>
            <w:u w:val="single"/>
          </w:rPr>
          <w:t>[R029]</w:t>
        </w:r>
      </w:hyperlink>
      <w:r>
        <w:t xml:space="preserve"> · </w:t>
      </w:r>
      <w:hyperlink r:id="rId61">
        <w:r>
          <w:rPr>
            <w:color w:val="176A75"/>
            <w:u w:val="single"/>
          </w:rPr>
          <w:t>[R062]</w:t>
        </w:r>
      </w:hyperlink>
    </w:p>
    <w:p>
      <w:pPr>
        <w:pStyle w:val="Heading2"/>
      </w:pPr>
      <w:r>
        <w:t>Файл не всегда совпадает с произведением</w:t>
      </w:r>
    </w:p>
    <w:p>
      <w:r>
        <w:t>У цифрового Sum cu pa отмечены соседние текстовые хвосты: окончание предшествующего sGra sbyor и начало следующего Rtags kyi ’jug pa. Автоматический перевод или индексация без проверки границ могут ошибочно приписать чужие строки грамматике. Аналогично один ZIP с несколькими ресурсами не превращается в столько независимых корпусных публикаций, сколько в нём файлов.</w:t>
      </w:r>
      <w:r>
        <w:t xml:space="preserve"> </w:t>
      </w:r>
      <w:hyperlink r:id="rId27">
        <w:r>
          <w:rPr>
            <w:color w:val="176A75"/>
            <w:u w:val="single"/>
          </w:rPr>
          <w:t>[R024]</w:t>
        </w:r>
      </w:hyperlink>
    </w:p>
    <w:p>
      <w:r>
        <w:t>Поздний канон сохраняет ранние переводческие атрибуции, но не обязательно каждое имперское чтение. Тег transmission_or_preservation описывает передачу; он не утверждает неизменность редакции. Несколько рукописей одного текста или несколько томов одного перевода должны дедуплицироваться по содержанию, сохраняя отличия свидетеля, редакции и доступа.</w:t>
      </w:r>
    </w:p>
    <w:p>
      <w:pPr>
        <w:pStyle w:val="Heading2"/>
      </w:pPr>
      <w:r>
        <w:t>Уверенность — не оценка открытости</w:t>
      </w:r>
    </w:p>
    <w:p>
      <w:r>
        <w:t>В реестре 17 записей с high, 13 с medium и 42 с low rights_confidence. Высокая уверенность может подтверждать ограничения — например, известное авторское право на фотографию, — а не открытый доступ. Двенадцать записей имеют какой-либо положительный тег потенциального повторного распространения, но несколько разрешают лишь собственный текст небольшой страницы или выбранные авторские компоненты; это не двенадцать свободных полных корпусов.</w:t>
      </w:r>
    </w:p>
    <w:p>
      <w:r>
        <w:t>RIGHTS_REVIEW_REQUIRED рядом с положительным тегом сужает его толкование: для R009 разрешён неизменённый авторский материал статьи, но не любые сторонние изображения; для R069 — лицензированный электронный файл, но не неустановленная редакционная основа; для R070 — собственные компоненты Horiuchi, но не автоматически чужие переводы. Отсутствие положительного тега означает «не установлено в этом исследовании», а не универсальный юридический запрет.</w:t>
      </w:r>
    </w:p>
    <w:p>
      <w:pPr>
        <w:pStyle w:val="Heading1"/>
      </w:pPr>
      <w:r>
        <w:t>6. Пробелы и дальнейший поиск</w:t>
      </w:r>
    </w:p>
    <w:p>
      <w:r>
        <w:t xml:space="preserve">Лист gaps содержит </w:t>
      </w:r>
      <w:r>
        <w:rPr>
          <w:b/>
        </w:rPr>
        <w:t>32 конкретные записи</w:t>
      </w:r>
      <w:r>
        <w:t>, а не общий список порталов. Поиск не исчерпан: новые прямые родственники корпуса продолжали обнаруживаться. Ни отсутствие проверенного файла, ни ошибка загрузки не трактуются как отсутствие произведения. Ниже пробелы сгруппированы; точные шифры, ссылки и следующий шаг сохранены в XLSX.</w:t>
      </w:r>
    </w:p>
    <w:tbl>
      <w:tblPr>
        <w:tblW w:type="auto" w:w="0"/>
        <w:jc w:val="center"/>
        <w:tblLayout w:type="fixed"/>
        <w:tblLook w:firstColumn="1" w:firstRow="1" w:lastColumn="0" w:lastRow="0" w:noHBand="0" w:noVBand="1" w:val="04A0"/>
      </w:tblPr>
      <w:tblGrid>
        <w:gridCol w:w="1701"/>
        <w:gridCol w:w="8050"/>
      </w:tblGrid>
      <w:tr>
        <w:trPr>
          <w:cantSplit/>
          <w:tblHeader/>
        </w:trPr>
        <w:tc>
          <w:tcPr>
            <w:tcW w:type="dxa" w:w="1701"/>
            <w:vAlign w:val="top"/>
            <w:tcMar>
              <w:top w:w="90" w:type="dxa"/>
              <w:left w:w="90" w:type="dxa"/>
              <w:bottom w:w="90" w:type="dxa"/>
              <w:right w:w="90" w:type="dxa"/>
            </w:tcMar>
            <w:shd w:fill="173D48"/>
          </w:tcPr>
          <w:p>
            <w:pPr>
              <w:spacing w:after="60" w:line="250" w:lineRule="auto"/>
            </w:pPr>
            <w:r>
              <w:rPr>
                <w:rFonts w:ascii="Arial" w:hAnsi="Arial"/>
                <w:b/>
                <w:color w:val="FFFFFF"/>
                <w:sz w:val="18"/>
              </w:rPr>
              <w:t>Пробелы</w:t>
            </w:r>
          </w:p>
        </w:tc>
        <w:tc>
          <w:tcPr>
            <w:tcW w:type="dxa" w:w="8050"/>
            <w:vAlign w:val="top"/>
            <w:tcMar>
              <w:top w:w="90" w:type="dxa"/>
              <w:left w:w="90" w:type="dxa"/>
              <w:bottom w:w="90" w:type="dxa"/>
              <w:right w:w="90" w:type="dxa"/>
            </w:tcMar>
            <w:shd w:fill="173D48"/>
          </w:tcPr>
          <w:p>
            <w:pPr>
              <w:spacing w:after="60" w:line="250" w:lineRule="auto"/>
            </w:pPr>
            <w:r>
              <w:rPr>
                <w:rFonts w:ascii="Arial" w:hAnsi="Arial"/>
                <w:b/>
                <w:color w:val="FFFFFF"/>
                <w:sz w:val="18"/>
              </w:rPr>
              <w:t>Что остаётся нерешённым</w:t>
            </w:r>
          </w:p>
        </w:tc>
      </w:tr>
      <w:tr>
        <w:trPr>
          <w:cantSplit/>
        </w:trPr>
        <w:tc>
          <w:tcPr>
            <w:tcW w:type="dxa" w:w="1701"/>
            <w:vAlign w:val="top"/>
            <w:tcMar>
              <w:top w:w="90" w:type="dxa"/>
              <w:left w:w="90" w:type="dxa"/>
              <w:bottom w:w="90" w:type="dxa"/>
              <w:right w:w="90" w:type="dxa"/>
            </w:tcMar>
            <w:shd w:fill="EDF3F4"/>
          </w:tcPr>
          <w:p>
            <w:pPr>
              <w:spacing w:after="60" w:line="250" w:lineRule="auto"/>
            </w:pPr>
            <w:r>
              <w:rPr>
                <w:rFonts w:ascii="Arial" w:hAnsi="Arial"/>
                <w:sz w:val="18"/>
              </w:rPr>
              <w:t>G001–G003</w:t>
            </w:r>
          </w:p>
        </w:tc>
        <w:tc>
          <w:tcPr>
            <w:tcW w:type="dxa" w:w="8050"/>
            <w:vAlign w:val="top"/>
            <w:tcMar>
              <w:top w:w="90" w:type="dxa"/>
              <w:left w:w="90" w:type="dxa"/>
              <w:bottom w:w="90" w:type="dxa"/>
              <w:right w:w="90" w:type="dxa"/>
            </w:tcMar>
            <w:shd w:fill="EDF3F4"/>
          </w:tcPr>
          <w:p>
            <w:pPr>
              <w:spacing w:after="60" w:line="250" w:lineRule="auto"/>
            </w:pPr>
            <w:r>
              <w:rPr>
                <w:rFonts w:ascii="Arial" w:hAnsi="Arial"/>
                <w:sz w:val="18"/>
              </w:rPr>
              <w:t>Утраченные Samyé Chimpuma и Old Narthang: нужны точные поздние testimonia, не фиктивное факсимиле. Для sGra sbyor из Табо и Tibet Museum — инвентарные номера, изображения и компонентные права.</w:t>
            </w:r>
          </w:p>
        </w:tc>
      </w:tr>
      <w:tr>
        <w:trPr>
          <w:cantSplit/>
        </w:trPr>
        <w:tc>
          <w:tcPr>
            <w:tcW w:type="dxa" w:w="1701"/>
            <w:vAlign w:val="top"/>
            <w:tcMar>
              <w:top w:w="90" w:type="dxa"/>
              <w:left w:w="90" w:type="dxa"/>
              <w:bottom w:w="90" w:type="dxa"/>
              <w:right w:w="90" w:type="dxa"/>
            </w:tcMar>
            <w:shd w:fill="FFFFFF"/>
          </w:tcPr>
          <w:p>
            <w:pPr>
              <w:spacing w:after="60" w:line="250" w:lineRule="auto"/>
            </w:pPr>
            <w:r>
              <w:rPr>
                <w:rFonts w:ascii="Arial" w:hAnsi="Arial"/>
                <w:sz w:val="18"/>
              </w:rPr>
              <w:t>G004–G006</w:t>
            </w:r>
          </w:p>
        </w:tc>
        <w:tc>
          <w:tcPr>
            <w:tcW w:type="dxa" w:w="8050"/>
            <w:vAlign w:val="top"/>
            <w:tcMar>
              <w:top w:w="90" w:type="dxa"/>
              <w:left w:w="90" w:type="dxa"/>
              <w:bottom w:w="90" w:type="dxa"/>
              <w:right w:w="90" w:type="dxa"/>
            </w:tcMar>
            <w:shd w:fill="FFFFFF"/>
          </w:tcPr>
          <w:p>
            <w:pPr>
              <w:spacing w:after="60" w:line="250" w:lineRule="auto"/>
            </w:pPr>
            <w:r>
              <w:rPr>
                <w:rFonts w:ascii="Arial" w:hAnsi="Arial"/>
                <w:sz w:val="18"/>
              </w:rPr>
              <w:t>Доступ к Ishikawa 1990 / 1993, полный Phangthangma Kawagoe 2005 и оригинал Denkarma с проверенными границами. Статья Kawagoe и ограниченный W18619 не закрывают потребность в полном корпусном тексте.</w:t>
            </w:r>
          </w:p>
        </w:tc>
      </w:tr>
      <w:tr>
        <w:trPr>
          <w:cantSplit/>
        </w:trPr>
        <w:tc>
          <w:tcPr>
            <w:tcW w:type="dxa" w:w="1701"/>
            <w:vAlign w:val="top"/>
            <w:tcMar>
              <w:top w:w="90" w:type="dxa"/>
              <w:left w:w="90" w:type="dxa"/>
              <w:bottom w:w="90" w:type="dxa"/>
              <w:right w:w="90" w:type="dxa"/>
            </w:tcMar>
            <w:shd w:fill="EDF3F4"/>
          </w:tcPr>
          <w:p>
            <w:pPr>
              <w:spacing w:after="60" w:line="250" w:lineRule="auto"/>
            </w:pPr>
            <w:r>
              <w:rPr>
                <w:rFonts w:ascii="Arial" w:hAnsi="Arial"/>
                <w:sz w:val="18"/>
              </w:rPr>
              <w:t>G007–G010</w:t>
            </w:r>
          </w:p>
        </w:tc>
        <w:tc>
          <w:tcPr>
            <w:tcW w:type="dxa" w:w="8050"/>
            <w:vAlign w:val="top"/>
            <w:tcMar>
              <w:top w:w="90" w:type="dxa"/>
              <w:left w:w="90" w:type="dxa"/>
              <w:bottom w:w="90" w:type="dxa"/>
              <w:right w:w="90" w:type="dxa"/>
            </w:tcMar>
            <w:shd w:fill="EDF3F4"/>
          </w:tcPr>
          <w:p>
            <w:pPr>
              <w:spacing w:after="60" w:line="250" w:lineRule="auto"/>
            </w:pPr>
            <w:r>
              <w:rPr>
                <w:rFonts w:ascii="Arial" w:hAnsi="Arial"/>
                <w:sz w:val="18"/>
              </w:rPr>
              <w:t>Mahāvyutpatti: Minaev–Mironov 1911, четыре санскритских свидетеля ИВР РАН, старый английский словарный слой и Sakaki, том II. Лицензия стороннего репринта 1984 года не подтверждена.</w:t>
            </w:r>
          </w:p>
        </w:tc>
      </w:tr>
      <w:tr>
        <w:trPr>
          <w:cantSplit/>
        </w:trPr>
        <w:tc>
          <w:tcPr>
            <w:tcW w:type="dxa" w:w="1701"/>
            <w:vAlign w:val="top"/>
            <w:tcMar>
              <w:top w:w="90" w:type="dxa"/>
              <w:left w:w="90" w:type="dxa"/>
              <w:bottom w:w="90" w:type="dxa"/>
              <w:right w:w="90" w:type="dxa"/>
            </w:tcMar>
            <w:shd w:fill="FFFFFF"/>
          </w:tcPr>
          <w:p>
            <w:pPr>
              <w:spacing w:after="60" w:line="250" w:lineRule="auto"/>
            </w:pPr>
            <w:r>
              <w:rPr>
                <w:rFonts w:ascii="Arial" w:hAnsi="Arial"/>
                <w:sz w:val="18"/>
              </w:rPr>
              <w:t>G011–G013</w:t>
            </w:r>
          </w:p>
        </w:tc>
        <w:tc>
          <w:tcPr>
            <w:tcW w:type="dxa" w:w="8050"/>
            <w:vAlign w:val="top"/>
            <w:tcMar>
              <w:top w:w="90" w:type="dxa"/>
              <w:left w:w="90" w:type="dxa"/>
              <w:bottom w:w="90" w:type="dxa"/>
              <w:right w:w="90" w:type="dxa"/>
            </w:tcMar>
            <w:shd w:fill="FFFFFF"/>
          </w:tcPr>
          <w:p>
            <w:pPr>
              <w:spacing w:after="60" w:line="250" w:lineRule="auto"/>
            </w:pPr>
            <w:r>
              <w:rPr>
                <w:rFonts w:ascii="Arial" w:hAnsi="Arial"/>
                <w:sz w:val="18"/>
              </w:rPr>
              <w:t>Рукописные фотографии Or.8210/S.5603, IOL Tib J 470, Pt 837 и Pt 999; нужны item-level права и рабочие IIIF / ARK, а не только научное описание или транскрипция.</w:t>
            </w:r>
          </w:p>
        </w:tc>
      </w:tr>
      <w:tr>
        <w:trPr>
          <w:cantSplit/>
        </w:trPr>
        <w:tc>
          <w:tcPr>
            <w:tcW w:type="dxa" w:w="1701"/>
            <w:vAlign w:val="top"/>
            <w:tcMar>
              <w:top w:w="90" w:type="dxa"/>
              <w:left w:w="90" w:type="dxa"/>
              <w:bottom w:w="90" w:type="dxa"/>
              <w:right w:w="90" w:type="dxa"/>
            </w:tcMar>
            <w:shd w:fill="EDF3F4"/>
          </w:tcPr>
          <w:p>
            <w:pPr>
              <w:spacing w:after="60" w:line="250" w:lineRule="auto"/>
            </w:pPr>
            <w:r>
              <w:rPr>
                <w:rFonts w:ascii="Arial" w:hAnsi="Arial"/>
                <w:sz w:val="18"/>
              </w:rPr>
              <w:t>G014–G019</w:t>
            </w:r>
          </w:p>
        </w:tc>
        <w:tc>
          <w:tcPr>
            <w:tcW w:type="dxa" w:w="8050"/>
            <w:vAlign w:val="top"/>
            <w:tcMar>
              <w:top w:w="90" w:type="dxa"/>
              <w:left w:w="90" w:type="dxa"/>
              <w:bottom w:w="90" w:type="dxa"/>
              <w:right w:w="90" w:type="dxa"/>
            </w:tcMar>
            <w:shd w:fill="EDF3F4"/>
          </w:tcPr>
          <w:p>
            <w:pPr>
              <w:spacing w:after="60" w:line="250" w:lineRule="auto"/>
            </w:pPr>
            <w:r>
              <w:rPr>
                <w:rFonts w:ascii="Arial" w:hAnsi="Arial"/>
                <w:sz w:val="18"/>
              </w:rPr>
              <w:t>Ratnamegha, IOL Tib J 625; полные Vyākhyāyukti / ṭīkā; Abhidharmasamuccayabhāṣya; Bhāvanākrama II–III; ранний исследовательский перевод Sparham в UBC. Частичные открытые статьи не заменяют эти полные тексты.</w:t>
            </w:r>
          </w:p>
        </w:tc>
      </w:tr>
      <w:tr>
        <w:trPr>
          <w:cantSplit/>
        </w:trPr>
        <w:tc>
          <w:tcPr>
            <w:tcW w:type="dxa" w:w="1701"/>
            <w:vAlign w:val="top"/>
            <w:tcMar>
              <w:top w:w="90" w:type="dxa"/>
              <w:left w:w="90" w:type="dxa"/>
              <w:bottom w:w="90" w:type="dxa"/>
              <w:right w:w="90" w:type="dxa"/>
            </w:tcMar>
            <w:shd w:fill="FFFFFF"/>
          </w:tcPr>
          <w:p>
            <w:pPr>
              <w:spacing w:after="60" w:line="250" w:lineRule="auto"/>
            </w:pPr>
            <w:r>
              <w:rPr>
                <w:rFonts w:ascii="Arial" w:hAnsi="Arial"/>
                <w:sz w:val="18"/>
              </w:rPr>
              <w:t>G020–G022</w:t>
            </w:r>
          </w:p>
        </w:tc>
        <w:tc>
          <w:tcPr>
            <w:tcW w:type="dxa" w:w="8050"/>
            <w:vAlign w:val="top"/>
            <w:tcMar>
              <w:top w:w="90" w:type="dxa"/>
              <w:left w:w="90" w:type="dxa"/>
              <w:bottom w:w="90" w:type="dxa"/>
              <w:right w:w="90" w:type="dxa"/>
            </w:tcMar>
            <w:shd w:fill="FFFFFF"/>
          </w:tcPr>
          <w:p>
            <w:pPr>
              <w:spacing w:after="60" w:line="250" w:lineRule="auto"/>
            </w:pPr>
            <w:r>
              <w:rPr>
                <w:rFonts w:ascii="Arial" w:hAnsi="Arial"/>
                <w:sz w:val="18"/>
              </w:rPr>
              <w:t>Полные каталоги Бутона, Chomden и dBus pa; Obermiller, часть II; последующие редакции dBa’ bzhed. Нужно развести полные работы, извлечения и поздние редакции.</w:t>
            </w:r>
          </w:p>
        </w:tc>
      </w:tr>
      <w:tr>
        <w:trPr>
          <w:cantSplit/>
        </w:trPr>
        <w:tc>
          <w:tcPr>
            <w:tcW w:type="dxa" w:w="1701"/>
            <w:vAlign w:val="top"/>
            <w:tcMar>
              <w:top w:w="90" w:type="dxa"/>
              <w:left w:w="90" w:type="dxa"/>
              <w:bottom w:w="90" w:type="dxa"/>
              <w:right w:w="90" w:type="dxa"/>
            </w:tcMar>
            <w:shd w:fill="EDF3F4"/>
          </w:tcPr>
          <w:p>
            <w:pPr>
              <w:spacing w:after="60" w:line="250" w:lineRule="auto"/>
            </w:pPr>
            <w:r>
              <w:rPr>
                <w:rFonts w:ascii="Arial" w:hAnsi="Arial"/>
                <w:sz w:val="18"/>
              </w:rPr>
              <w:t>G023–G027</w:t>
            </w:r>
          </w:p>
        </w:tc>
        <w:tc>
          <w:tcPr>
            <w:tcW w:type="dxa" w:w="8050"/>
            <w:vAlign w:val="top"/>
            <w:tcMar>
              <w:top w:w="90" w:type="dxa"/>
              <w:left w:w="90" w:type="dxa"/>
              <w:bottom w:w="90" w:type="dxa"/>
              <w:right w:w="90" w:type="dxa"/>
            </w:tcMar>
            <w:shd w:fill="EDF3F4"/>
          </w:tcPr>
          <w:p>
            <w:pPr>
              <w:spacing w:after="60" w:line="250" w:lineRule="auto"/>
            </w:pPr>
            <w:r>
              <w:rPr>
                <w:rFonts w:ascii="Arial" w:hAnsi="Arial"/>
                <w:sz w:val="18"/>
              </w:rPr>
              <w:t>Лицензии Namgyal / Zenodo и конфликт 84000; полный Toh 923; отсутствующий каталог Kangyur, границы D 4346 / 4347 / 4364 и более новые OpenPecha-версии; альтернативные Adarshah / ACIP.</w:t>
            </w:r>
          </w:p>
        </w:tc>
      </w:tr>
      <w:tr>
        <w:trPr>
          <w:cantSplit/>
        </w:trPr>
        <w:tc>
          <w:tcPr>
            <w:tcW w:type="dxa" w:w="1701"/>
            <w:vAlign w:val="top"/>
            <w:tcMar>
              <w:top w:w="90" w:type="dxa"/>
              <w:left w:w="90" w:type="dxa"/>
              <w:bottom w:w="90" w:type="dxa"/>
              <w:right w:w="90" w:type="dxa"/>
            </w:tcMar>
            <w:shd w:fill="FFFFFF"/>
          </w:tcPr>
          <w:p>
            <w:pPr>
              <w:spacing w:after="60" w:line="250" w:lineRule="auto"/>
            </w:pPr>
            <w:r>
              <w:rPr>
                <w:rFonts w:ascii="Arial" w:hAnsi="Arial"/>
                <w:sz w:val="18"/>
              </w:rPr>
              <w:t>G028–G030</w:t>
            </w:r>
          </w:p>
        </w:tc>
        <w:tc>
          <w:tcPr>
            <w:tcW w:type="dxa" w:w="8050"/>
            <w:vAlign w:val="top"/>
            <w:tcMar>
              <w:top w:w="90" w:type="dxa"/>
              <w:left w:w="90" w:type="dxa"/>
              <w:bottom w:w="90" w:type="dxa"/>
              <w:right w:w="90" w:type="dxa"/>
            </w:tcMar>
            <w:shd w:fill="FFFFFF"/>
          </w:tcPr>
          <w:p>
            <w:pPr>
              <w:spacing w:after="60" w:line="250" w:lineRule="auto"/>
            </w:pPr>
            <w:r>
              <w:rPr>
                <w:rFonts w:ascii="Arial" w:hAnsi="Arial"/>
                <w:sz w:val="18"/>
              </w:rPr>
              <w:t>Дополнительные рецензии Rnying ma rgyud ’bum и авторская открытая копия Cantwell–Mayer; рецепция Pelyang в Guhyagarbha / Bsam gtan mig sgron; полный монгольский канон и Tengyur.</w:t>
            </w:r>
          </w:p>
        </w:tc>
      </w:tr>
      <w:tr>
        <w:trPr>
          <w:cantSplit/>
        </w:trPr>
        <w:tc>
          <w:tcPr>
            <w:tcW w:type="dxa" w:w="1701"/>
            <w:vAlign w:val="top"/>
            <w:tcMar>
              <w:top w:w="90" w:type="dxa"/>
              <w:left w:w="90" w:type="dxa"/>
              <w:bottom w:w="90" w:type="dxa"/>
              <w:right w:w="90" w:type="dxa"/>
            </w:tcMar>
            <w:shd w:fill="EDF3F4"/>
          </w:tcPr>
          <w:p>
            <w:pPr>
              <w:spacing w:after="60" w:line="250" w:lineRule="auto"/>
            </w:pPr>
            <w:r>
              <w:rPr>
                <w:rFonts w:ascii="Arial" w:hAnsi="Arial"/>
                <w:sz w:val="18"/>
              </w:rPr>
              <w:t>G031–G032</w:t>
            </w:r>
          </w:p>
        </w:tc>
        <w:tc>
          <w:tcPr>
            <w:tcW w:type="dxa" w:w="8050"/>
            <w:vAlign w:val="top"/>
            <w:tcMar>
              <w:top w:w="90" w:type="dxa"/>
              <w:left w:w="90" w:type="dxa"/>
              <w:bottom w:w="90" w:type="dxa"/>
              <w:right w:w="90" w:type="dxa"/>
            </w:tcMar>
            <w:shd w:fill="EDF3F4"/>
          </w:tcPr>
          <w:p>
            <w:pPr>
              <w:spacing w:after="60" w:line="250" w:lineRule="auto"/>
            </w:pPr>
            <w:r>
              <w:rPr>
                <w:rFonts w:ascii="Arial" w:hAnsi="Arial"/>
                <w:sz w:val="18"/>
              </w:rPr>
              <w:t>Новейший том Brill 2026: заявленные в DR дата и Open Access не переподтверждены из-за нераскрывшейся страницы. Полные русские переводы основных лексиконов и каталогов не найдены; это не утверждение об их несуществовании.</w:t>
            </w:r>
          </w:p>
        </w:tc>
      </w:tr>
    </w:tbl>
    <w:p>
      <w:pPr>
        <w:spacing w:after="0"/>
      </w:pPr>
    </w:p>
    <w:p>
      <w:r/>
      <w:r>
        <w:rPr>
          <w:b/>
        </w:rPr>
        <w:t>Технические ограничения.</w:t>
      </w:r>
      <w:r>
        <w:t xml:space="preserve"> PDF Toyo Bunko возвращали 429; отдельные IDP-страницы — 403; часть BDRC-ссылок открывала только JavaScript-оболочку или не раскрывала объект. Страница Brill также не позволила подтвердить актуальные сведения. Эти случаи описаны в verification_status и gaps, а не замаскированы под подтверждённое скачивание.</w:t>
      </w:r>
    </w:p>
    <w:p>
      <w:r/>
      <w:r>
        <w:rPr>
          <w:b/>
        </w:rPr>
        <w:t>Защищённые научные входы сохранены.</w:t>
      </w:r>
      <w:r>
        <w:t xml:space="preserve"> Herrmann-Pfandt, полный четырёхтомный Sparham, современный Бутон и критические Kīlaya-тантры включены через издательские страницы. В Internet Archive наличие inlibrary, printdisabled или CDL не позволило доказать фактическую выдачу. Поэтому library_borrow не присвоен ни одной записи без работающего подтверждения.</w:t>
      </w:r>
      <w:r>
        <w:t xml:space="preserve"> </w:t>
      </w:r>
      <w:hyperlink r:id="rId20">
        <w:r>
          <w:rPr>
            <w:color w:val="176A75"/>
            <w:u w:val="single"/>
          </w:rPr>
          <w:t>[R008]</w:t>
        </w:r>
      </w:hyperlink>
      <w:r>
        <w:t xml:space="preserve"> · </w:t>
      </w:r>
      <w:hyperlink r:id="rId60">
        <w:r>
          <w:rPr>
            <w:color w:val="176A75"/>
            <w:u w:val="single"/>
          </w:rPr>
          <w:t>[R030]</w:t>
        </w:r>
      </w:hyperlink>
      <w:r>
        <w:t xml:space="preserve"> · </w:t>
      </w:r>
      <w:hyperlink r:id="rId31">
        <w:r>
          <w:rPr>
            <w:color w:val="176A75"/>
            <w:u w:val="single"/>
          </w:rPr>
          <w:t>[R031]</w:t>
        </w:r>
      </w:hyperlink>
      <w:r>
        <w:t xml:space="preserve"> · </w:t>
      </w:r>
      <w:hyperlink r:id="rId58">
        <w:r>
          <w:rPr>
            <w:color w:val="176A75"/>
            <w:u w:val="single"/>
          </w:rPr>
          <w:t>[R061]</w:t>
        </w:r>
      </w:hyperlink>
      <w:r>
        <w:t xml:space="preserve"> · </w:t>
      </w:r>
      <w:hyperlink r:id="rId32">
        <w:r>
          <w:rPr>
            <w:color w:val="176A75"/>
            <w:u w:val="single"/>
          </w:rPr>
          <w:t>[R065]</w:t>
        </w:r>
      </w:hyperlink>
      <w:r>
        <w:t xml:space="preserve"> · </w:t>
      </w:r>
      <w:hyperlink r:id="rId33">
        <w:r>
          <w:rPr>
            <w:color w:val="176A75"/>
            <w:u w:val="single"/>
          </w:rPr>
          <w:t>[R066]</w:t>
        </w:r>
      </w:hyperlink>
      <w:r>
        <w:t xml:space="preserve"> · </w:t>
      </w:r>
      <w:hyperlink r:id="rId34">
        <w:r>
          <w:rPr>
            <w:color w:val="176A75"/>
            <w:u w:val="single"/>
          </w:rPr>
          <w:t>[R067]</w:t>
        </w:r>
      </w:hyperlink>
      <w:r>
        <w:t xml:space="preserve"> · </w:t>
      </w:r>
      <w:hyperlink r:id="rId25">
        <w:r>
          <w:rPr>
            <w:color w:val="176A75"/>
            <w:u w:val="single"/>
          </w:rPr>
          <w:t>[R071]</w:t>
        </w:r>
      </w:hyperlink>
      <w:r>
        <w:t xml:space="preserve"> · </w:t>
      </w:r>
      <w:hyperlink r:id="rId63">
        <w:r>
          <w:rPr>
            <w:color w:val="176A75"/>
            <w:u w:val="single"/>
          </w:rPr>
          <w:t>[R064]</w:t>
        </w:r>
      </w:hyperlink>
    </w:p>
    <w:p>
      <w:r/>
      <w:r>
        <w:rPr>
          <w:b/>
        </w:rPr>
        <w:t>Неподтверждённый кандидат.</w:t>
      </w:r>
      <w:r>
        <w:t xml:space="preserve"> G009 содержит не сомнение в существовании древней Mahāvyutpatti, а сомнение в праве стороннего загрузчика лицензировать переиздание 1984 года. Указанная им CC BY-NC 4.0 не использована как основание MIRROR_NONCOMMERCIAL. Поисковые сниппеты и слабые навигационные страницы не выступают доказательством сильных разрешений.</w:t>
      </w:r>
    </w:p>
    <w:p>
      <w:pPr>
        <w:pStyle w:val="Heading2"/>
      </w:pPr>
      <w:r>
        <w:t>Девять адресных направлений следующей проверки</w:t>
      </w:r>
    </w:p>
    <w:p>
      <w:r/>
      <w:r>
        <w:rPr>
          <w:b/>
        </w:rPr>
        <w:t>1 / Каталоги до масштабирования корпуса.</w:t>
      </w:r>
      <w:r>
        <w:t xml:space="preserve"> Установить точные границы Denkarma D 4364 в MW18619 / MW1KG25919 и получить полную монографию Phangthangma Kawagoe 2005. Сверить названия, номера и аппарат с уже сохранёнными версиями.</w:t>
      </w:r>
    </w:p>
    <w:p>
      <w:r/>
      <w:r>
        <w:rPr>
          <w:b/>
        </w:rPr>
        <w:t>2 / sGra sbyor по свидетелям.</w:t>
      </w:r>
      <w:r>
        <w:t xml:space="preserve"> Повторить официальные загрузки Toyo Bunko 3796 / 3788; отдельно найти шифры табоских фрагментов и рукописи Tibet Museum. Не объединять ранний декретный слой, поздний канонический текст и современную реконструкцию.</w:t>
      </w:r>
    </w:p>
    <w:p>
      <w:r/>
      <w:r>
        <w:rPr>
          <w:b/>
        </w:rPr>
        <w:t>3 / Права 84000 и Namgyal.</w:t>
      </w:r>
      <w:r>
        <w:t xml:space="preserve"> Для конкретных релизов сопоставить README, Terms of Use, item-level license и метаданные Zenodo. До разрешения конфликта не запускать автоматическое публичное зеркало и массовую выдачу производных данных.</w:t>
      </w:r>
    </w:p>
    <w:p>
      <w:r/>
      <w:r>
        <w:rPr>
          <w:b/>
        </w:rPr>
        <w:t>4 / Полнота электронного канона.</w:t>
      </w:r>
      <w:r>
        <w:t xml:space="preserve"> Найти отсутствующий каталог Derge Kangyur, том 103; сверить границы Mahāvyutpatti, sGra sbyor и Denkarma в Tengyur. Проверить происхождение и лицензии более новых OpenPecha-пакетов, не наследуя права только по сходству названия.</w:t>
      </w:r>
    </w:p>
    <w:p>
      <w:r/>
      <w:r>
        <w:rPr>
          <w:b/>
        </w:rPr>
        <w:t>5 / Дуньхуан: изображение отдельно от текста.</w:t>
      </w:r>
      <w:r>
        <w:t xml:space="preserve"> Открыть item-level объекты Or.8210/S.5603, IOL Tib J 470, Pt 837 и Pt 999 в IDP / BnF; сохранить ARK, IIIF-манифест, права каждого изображения и соответствие транскрипции конкретному листу.</w:t>
      </w:r>
    </w:p>
    <w:p>
      <w:r/>
      <w:r>
        <w:rPr>
          <w:b/>
        </w:rPr>
        <w:t>6 / Прямые индийские и китайские источники.</w:t>
      </w:r>
      <w:r>
        <w:t xml:space="preserve"> Обработать Ratnamegha и IOL Tib J 625; полные Vyākhyāyukti D 4061 / P 5562 и ṭīkā D 4069 / P 5570; Abhidharmasamuccayabhāṣya D 4053 / P 5554; вторую и третью Bhāvanākrama. Для каждой сохранить доказанную связь со sGra sbyor или имперской передачей.</w:t>
      </w:r>
    </w:p>
    <w:p>
      <w:r/>
      <w:r>
        <w:rPr>
          <w:b/>
        </w:rPr>
        <w:t>7 / Старопереводные тантры и рецепция Pelyang.</w:t>
      </w:r>
      <w:r>
        <w:t xml:space="preserve"> Сверить Tingkye, Tsamdrak, Derge и другие конкретные рецензии; найти разрешённую авторскую копию Cantwell–Mayer. Проверить Guhyagarbha, Bsam gtan mig sgron и родственные вопросы–ответы как адресную линию рецепции, не расширяя поиск до всей ньингма.</w:t>
      </w:r>
    </w:p>
    <w:p>
      <w:r/>
      <w:r>
        <w:rPr>
          <w:b/>
        </w:rPr>
        <w:t>8 / Дальняя передача и ранняя буддология.</w:t>
      </w:r>
      <w:r>
        <w:t xml:space="preserve"> Проверить полный петербургский монгольский комплект Ms. Mong. 1–113 и связанные печатные версии / Tengyur. Для Obermiller II, Csoma и Minaev–Mironov установить исходную публикацию, полный объём, происхождение скана и юрисдикционную основу.</w:t>
      </w:r>
    </w:p>
    <w:p>
      <w:r/>
      <w:r>
        <w:rPr>
          <w:b/>
        </w:rPr>
        <w:t>9 / Русскоязычный вход.</w:t>
      </w:r>
      <w:r>
        <w:t xml:space="preserve"> Искать полные русские переводы основных лексиконов и каталогов по имени переводчика, издательству и национальной библиографии. Не подменять их русскими пересказами, цитатами в статье или неавторизованными сканами.</w:t>
      </w:r>
    </w:p>
    <w:p>
      <w:pPr>
        <w:pStyle w:val="Heading1"/>
        <w:pageBreakBefore/>
      </w:pPr>
      <w:r>
        <w:t>7. Итоговая оценка</w:t>
      </w:r>
    </w:p>
    <w:p>
      <w:r/>
      <w:r>
        <w:rPr>
          <w:b/>
        </w:rPr>
        <w:t>Покрытие ядра — широкое, но не исчерпывающее.</w:t>
      </w:r>
      <w:r>
        <w:t xml:space="preserve"> Все основные классы объектов исходного DR получили конкретный путь доступа либо явный пробел. Сильнее всего представлены поздняя каноническая передача, электронные тибетские тексты, колофоны и несколько проверенных переводных семей. Слабее — полные ранние каталоги, изображения отдельных древних свидетелей и полный русскоязычный слой.</w:t>
      </w:r>
    </w:p>
    <w:p>
      <w:r/>
      <w:r>
        <w:rPr>
          <w:b/>
        </w:rPr>
        <w:t>Оригиналы и переводы доступны неравномерно.</w:t>
      </w:r>
      <w:r>
        <w:t xml:space="preserve"> Для позднего тибетского канона есть крупные электронные пакеты; для отдельных санскритских оригиналов — ясные некоммерческие лицензии. Современные переводы варьируют от полного авторского чтения Dalton и двуязычных TMX до платных многотомных изданий. Старый перевод Бутона полезен, но одна проверенная часть не равна всей «Истории».</w:t>
      </w:r>
      <w:r>
        <w:t xml:space="preserve"> </w:t>
      </w:r>
      <w:hyperlink r:id="rId28">
        <w:r>
          <w:rPr>
            <w:color w:val="176A75"/>
            <w:u w:val="single"/>
          </w:rPr>
          <w:t>[R025]</w:t>
        </w:r>
      </w:hyperlink>
      <w:r>
        <w:t xml:space="preserve"> · </w:t>
      </w:r>
      <w:hyperlink r:id="rId12">
        <w:r>
          <w:rPr>
            <w:color w:val="176A75"/>
            <w:u w:val="single"/>
          </w:rPr>
          <w:t>[R032]</w:t>
        </w:r>
      </w:hyperlink>
      <w:r>
        <w:t xml:space="preserve"> · </w:t>
      </w:r>
      <w:hyperlink r:id="rId13">
        <w:r>
          <w:rPr>
            <w:color w:val="176A75"/>
            <w:u w:val="single"/>
          </w:rPr>
          <w:t>[R033]</w:t>
        </w:r>
      </w:hyperlink>
      <w:r>
        <w:t xml:space="preserve"> · </w:t>
      </w:r>
      <w:hyperlink r:id="rId35">
        <w:r>
          <w:rPr>
            <w:color w:val="176A75"/>
            <w:u w:val="single"/>
          </w:rPr>
          <w:t>[R037]</w:t>
        </w:r>
      </w:hyperlink>
      <w:r>
        <w:t xml:space="preserve"> · </w:t>
      </w:r>
      <w:hyperlink r:id="rId30">
        <w:r>
          <w:rPr>
            <w:color w:val="176A75"/>
            <w:u w:val="single"/>
          </w:rPr>
          <w:t>[R058]</w:t>
        </w:r>
      </w:hyperlink>
      <w:r>
        <w:t xml:space="preserve"> · </w:t>
      </w:r>
      <w:hyperlink r:id="rId61">
        <w:r>
          <w:rPr>
            <w:color w:val="176A75"/>
            <w:u w:val="single"/>
          </w:rPr>
          <w:t>[R062]</w:t>
        </w:r>
      </w:hyperlink>
      <w:r>
        <w:t xml:space="preserve"> · </w:t>
      </w:r>
      <w:hyperlink r:id="rId32">
        <w:r>
          <w:rPr>
            <w:color w:val="176A75"/>
            <w:u w:val="single"/>
          </w:rPr>
          <w:t>[R065]</w:t>
        </w:r>
      </w:hyperlink>
      <w:r>
        <w:t xml:space="preserve"> · </w:t>
      </w:r>
      <w:hyperlink r:id="rId33">
        <w:r>
          <w:rPr>
            <w:color w:val="176A75"/>
            <w:u w:val="single"/>
          </w:rPr>
          <w:t>[R066]</w:t>
        </w:r>
      </w:hyperlink>
      <w:r>
        <w:t xml:space="preserve"> · </w:t>
      </w:r>
      <w:hyperlink r:id="rId34">
        <w:r>
          <w:rPr>
            <w:color w:val="176A75"/>
            <w:u w:val="single"/>
          </w:rPr>
          <w:t>[R067]</w:t>
        </w:r>
      </w:hyperlink>
    </w:p>
    <w:p>
      <w:r/>
      <w:r>
        <w:rPr>
          <w:b/>
        </w:rPr>
        <w:t>Наиболее свободный слой — CC0-данные rKTs; следующий практический слой — воспроизводимые тибетские e-text Esukhia и NC-SA-оригиналы GRETIL.</w:t>
      </w:r>
      <w:r>
        <w:t xml:space="preserve"> Основные ограничения сосредоточены в современных переводах и реконструкциях, правах на фотографии, неполноте пакетов и конфликтующих условиях цифровых проектов. Бесплатное чтение в этих зонах всё равно сохраняет исследовательскую ценность.</w:t>
      </w:r>
      <w:r>
        <w:t xml:space="preserve"> </w:t>
      </w:r>
      <w:hyperlink r:id="rId11">
        <w:r>
          <w:rPr>
            <w:color w:val="176A75"/>
            <w:u w:val="single"/>
          </w:rPr>
          <w:t>[R021]</w:t>
        </w:r>
      </w:hyperlink>
      <w:r>
        <w:t xml:space="preserve"> · </w:t>
      </w:r>
      <w:hyperlink r:id="rId28">
        <w:r>
          <w:rPr>
            <w:color w:val="176A75"/>
            <w:u w:val="single"/>
          </w:rPr>
          <w:t>[R025]</w:t>
        </w:r>
      </w:hyperlink>
      <w:r>
        <w:t xml:space="preserve"> · </w:t>
      </w:r>
      <w:hyperlink r:id="rId12">
        <w:r>
          <w:rPr>
            <w:color w:val="176A75"/>
            <w:u w:val="single"/>
          </w:rPr>
          <w:t>[R032]</w:t>
        </w:r>
      </w:hyperlink>
      <w:r>
        <w:t xml:space="preserve"> · </w:t>
      </w:r>
      <w:hyperlink r:id="rId13">
        <w:r>
          <w:rPr>
            <w:color w:val="176A75"/>
            <w:u w:val="single"/>
          </w:rPr>
          <w:t>[R033]</w:t>
        </w:r>
      </w:hyperlink>
      <w:r>
        <w:t xml:space="preserve"> · </w:t>
      </w:r>
      <w:hyperlink r:id="rId70">
        <w:r>
          <w:rPr>
            <w:color w:val="176A75"/>
            <w:u w:val="single"/>
          </w:rPr>
          <w:t>[R043]</w:t>
        </w:r>
      </w:hyperlink>
      <w:r>
        <w:t xml:space="preserve"> · </w:t>
      </w:r>
      <w:hyperlink r:id="rId44">
        <w:r>
          <w:rPr>
            <w:color w:val="176A75"/>
            <w:u w:val="single"/>
          </w:rPr>
          <w:t>[R069]</w:t>
        </w:r>
      </w:hyperlink>
      <w:r>
        <w:t xml:space="preserve"> · </w:t>
      </w:r>
      <w:hyperlink r:id="rId64">
        <w:r>
          <w:rPr>
            <w:color w:val="176A75"/>
            <w:u w:val="single"/>
          </w:rPr>
          <w:t>[R072]</w:t>
        </w:r>
      </w:hyperlink>
    </w:p>
    <w:p>
      <w:r/>
      <w:r>
        <w:rPr>
          <w:b/>
        </w:rPr>
        <w:t>Пакет пригоден для передачи Codex как исследовательский реестр, но не как безусловный список на зеркалирование.</w:t>
      </w:r>
      <w:r>
        <w:t xml:space="preserve"> В XLSX сохранены 32 требуемых поля, уникальные record_id, отдельные уровни прав, scope / coverage, результаты проверки и практические теги. Следующий этап — дедупликация и нормализация с сохранением редакций, языков и свидетелей. Автоматические действия должны читать rights_scope, coverage, verification_status и notes вместе с tos_use.</w:t>
      </w:r>
    </w:p>
    <w:p>
      <w:pPr>
        <w:pStyle w:val="Small"/>
      </w:pPr>
      <w:r>
        <w:t>Исследование завершено в объёме сохранённых 72 путей доступа; 32 адресных пробела очерчивают дальнейшую работу. Исторические границы, ID и статус мастер-строки не изменены.</w:t>
      </w:r>
    </w:p>
    <w:sectPr w:rsidR="00FC693F" w:rsidRPr="0006063C" w:rsidSect="00034616">
      <w:headerReference w:type="default" r:id="rId9"/>
      <w:footerReference w:type="default" r:id="rId10"/>
      <w:pgSz w:w="11906" w:h="16838"/>
      <w:pgMar w:top="1020" w:right="1020"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T2-42  •  04.09.2026                                      ToS Corpus &amp; Rights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536970"/>
      </w:rPr>
      <w:t>TREE OF SOPHIA  /  КОРПУС И ПРАВА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173D48"/>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176A75"/>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173D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80"/>
      <w:contextualSpacing/>
    </w:pPr>
    <w:rPr>
      <w:rFonts w:asciiTheme="majorHAnsi" w:eastAsiaTheme="majorEastAsia" w:hAnsiTheme="majorHAnsi" w:cstheme="majorBidi" w:ascii="Arial" w:hAnsi="Arial"/>
      <w:b/>
      <w:color w:val="173D4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80"/>
    </w:pPr>
    <w:rPr>
      <w:rFonts w:asciiTheme="majorHAnsi" w:eastAsiaTheme="majorEastAsia" w:hAnsiTheme="majorHAnsi" w:cstheme="majorBidi" w:ascii="Arial" w:hAnsi="Arial"/>
      <w:b w:val="0"/>
      <w:i/>
      <w:iCs/>
      <w:color w:val="5369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pPr>
    <w:rPr>
      <w:sz w:val="18"/>
    </w:rPr>
  </w:style>
  <w:style w:type="paragraph" w:customStyle="1" w:styleId="Source">
    <w:name w:val="Sour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runogml/rKTs" TargetMode="External"/><Relationship Id="rId12" Type="http://schemas.openxmlformats.org/officeDocument/2006/relationships/hyperlink" Target="https://github.com/Esukhia/derge-kangyur" TargetMode="External"/><Relationship Id="rId13" Type="http://schemas.openxmlformats.org/officeDocument/2006/relationships/hyperlink" Target="https://github.com/Esukhia/derge-tengyur" TargetMode="External"/><Relationship Id="rId14" Type="http://schemas.openxmlformats.org/officeDocument/2006/relationships/hyperlink" Target="https://glossaries.dila.edu.tw/glossaries/MVP?locale=en" TargetMode="External"/><Relationship Id="rId15" Type="http://schemas.openxmlformats.org/officeDocument/2006/relationships/hyperlink" Target="https://www2.hf.uio.no/polyglotta/index.php?page=volume&amp;vid=263" TargetMode="External"/><Relationship Id="rId16" Type="http://schemas.openxmlformats.org/officeDocument/2006/relationships/hyperlink" Target="https://www2.hf.uio.no/polyglotta/index.php?cid=334639&amp;level=1&amp;page=record&amp;vid=263" TargetMode="External"/><Relationship Id="rId17" Type="http://schemas.openxmlformats.org/officeDocument/2006/relationships/hyperlink" Target="https://www2.hf.uio.no/polyglotta/index.php?cid=334666&amp;level=2&amp;page=record&amp;vid=263" TargetMode="External"/><Relationship Id="rId18" Type="http://schemas.openxmlformats.org/officeDocument/2006/relationships/hyperlink" Target="https://search.worldcat.org/es/title/A-critical-edition-of-the-Sgra-sbyor-bam-po-gnyis-pa-an-old-and-basic-commentary-on-the-Mahavyutpatti-Nikanbon-yakugoshaku/oclc/1073315120" TargetMode="External"/><Relationship Id="rId19" Type="http://schemas.openxmlformats.org/officeDocument/2006/relationships/hyperlink" Target="https://search.worldcat.org/es/title/Dkar-chag-Phang-thang-ma.-Sgra-sbyor-bam-po-gnyis-pa/oclc/67769829" TargetMode="External"/><Relationship Id="rId20" Type="http://schemas.openxmlformats.org/officeDocument/2006/relationships/hyperlink" Target="https://www.oeaw.ac.at/en/ikga/publications/series/beitraege-zur-kultur-und-geistesgeschichte-asiens-bkga/literatur-2008-herrmann-pfandt" TargetMode="External"/><Relationship Id="rId21" Type="http://schemas.openxmlformats.org/officeDocument/2006/relationships/hyperlink" Target="https://ndlsearch.ndl.go.jp/books/R000000004-I7408200" TargetMode="External"/><Relationship Id="rId22" Type="http://schemas.openxmlformats.org/officeDocument/2006/relationships/hyperlink" Target="https://archive.org/details/kanwashiyakutaik01mahauoft" TargetMode="External"/><Relationship Id="rId23" Type="http://schemas.openxmlformats.org/officeDocument/2006/relationships/hyperlink" Target="https://toyo-bunko.repo.nii.ac.jp/records/3796" TargetMode="External"/><Relationship Id="rId24" Type="http://schemas.openxmlformats.org/officeDocument/2006/relationships/hyperlink" Target="https://toyo-bunko.repo.nii.ac.jp/records/3788" TargetMode="External"/><Relationship Id="rId25" Type="http://schemas.openxmlformats.org/officeDocument/2006/relationships/hyperlink" Target="https://archive.org/details/bdrc-W18619" TargetMode="External"/><Relationship Id="rId26" Type="http://schemas.openxmlformats.org/officeDocument/2006/relationships/hyperlink" Target="https://otdo.aa-ken.jp/archives?p=Pt_0999" TargetMode="External"/><Relationship Id="rId27" Type="http://schemas.openxmlformats.org/officeDocument/2006/relationships/hyperlink" Target="https://www.rkts.org/etexts/complete.php?coll=N&amp;id=N4632" TargetMode="External"/><Relationship Id="rId28" Type="http://schemas.openxmlformats.org/officeDocument/2006/relationships/hyperlink" Target="https://gretil.sub.uni-goettingen.de/gretil/corpustei/transformations/html/sa_abhisamayAlaMkAra.htm" TargetMode="External"/><Relationship Id="rId29" Type="http://schemas.openxmlformats.org/officeDocument/2006/relationships/hyperlink" Target="https://gretil.sub.uni-goettingen.de/gretil/corpustei/transformations/html/sa_kamalazIla-bhAvanAkrama.htm" TargetMode="External"/><Relationship Id="rId30" Type="http://schemas.openxmlformats.org/officeDocument/2006/relationships/hyperlink" Target="https://www.academia.edu/44136967/The_Questions_and_Answers_of_Vajrasattva" TargetMode="External"/><Relationship Id="rId31" Type="http://schemas.openxmlformats.org/officeDocument/2006/relationships/hyperlink" Target="https://jainpub.com/inc/sdetail/2360" TargetMode="External"/><Relationship Id="rId32" Type="http://schemas.openxmlformats.org/officeDocument/2006/relationships/hyperlink" Target="https://jainpub.com/inc/sdetail/2337" TargetMode="External"/><Relationship Id="rId33" Type="http://schemas.openxmlformats.org/officeDocument/2006/relationships/hyperlink" Target="https://jainpub.com/inc/sdetail/2361" TargetMode="External"/><Relationship Id="rId34" Type="http://schemas.openxmlformats.org/officeDocument/2006/relationships/hyperlink" Target="https://jainpub.com/inc/sdetail/2362" TargetMode="External"/><Relationship Id="rId35" Type="http://schemas.openxmlformats.org/officeDocument/2006/relationships/hyperlink" Target="https://github.com/84000/data-translation-memory/blob/master/toh156-v4.tmx" TargetMode="External"/><Relationship Id="rId36" Type="http://schemas.openxmlformats.org/officeDocument/2006/relationships/hyperlink" Target="https://github.com/84000/data-translation-memory/blob/master/toh705-v3.tmx" TargetMode="External"/><Relationship Id="rId37" Type="http://schemas.openxmlformats.org/officeDocument/2006/relationships/hyperlink" Target="https://github.com/84000/data-translation-memory/blob/master/toh503-v3.tmx" TargetMode="External"/><Relationship Id="rId38" Type="http://schemas.openxmlformats.org/officeDocument/2006/relationships/hyperlink" Target="https://github.com/84000/data-translation-memory/blob/master/toh551-v3.tmx" TargetMode="External"/><Relationship Id="rId39" Type="http://schemas.openxmlformats.org/officeDocument/2006/relationships/hyperlink" Target="https://github.com/84000/data-translation-memory/blob/master/toh669-v3.tmx" TargetMode="External"/><Relationship Id="rId40" Type="http://schemas.openxmlformats.org/officeDocument/2006/relationships/hyperlink" Target="https://84000.co/translation/toh923" TargetMode="External"/><Relationship Id="rId41" Type="http://schemas.openxmlformats.org/officeDocument/2006/relationships/hyperlink" Target="https://gretil.sub.uni-goettingen.de/gretil/corpustei/transformations/html/sa_aSTasAhasrikA-prajJApAramitA.htm" TargetMode="External"/><Relationship Id="rId42" Type="http://schemas.openxmlformats.org/officeDocument/2006/relationships/hyperlink" Target="https://gretil.sub.uni-goettingen.de/gretil/corpustei/transformations/html/sa_ratnAkarazAnti-sAratama.htm" TargetMode="External"/><Relationship Id="rId43" Type="http://schemas.openxmlformats.org/officeDocument/2006/relationships/hyperlink" Target="https://gretil.sub.uni-goettingen.de/gretil/corpustei/transformations/html/sa_saddharmalaGkAvatArasUtra.htm" TargetMode="External"/><Relationship Id="rId44" Type="http://schemas.openxmlformats.org/officeDocument/2006/relationships/hyperlink" Target="https://gretil.sub.uni-goettingen.de/gretil/corpustei/transformations/html/sa_asaGga-abhidharmasamuccaya.htm" TargetMode="External"/><Relationship Id="rId45" Type="http://schemas.openxmlformats.org/officeDocument/2006/relationships/hyperlink" Target="https://link.springer.com/article/10.1007/s10781-023-09542-8" TargetMode="External"/><Relationship Id="rId46" Type="http://schemas.openxmlformats.org/officeDocument/2006/relationships/hyperlink" Target="https://purl.bdrc.io/resource/MW1CZ1041_A285C1" TargetMode="External"/><Relationship Id="rId47" Type="http://schemas.openxmlformats.org/officeDocument/2006/relationships/hyperlink" Target="https://purl.bdrc.io/resource/MW1KG12170" TargetMode="External"/><Relationship Id="rId48" Type="http://schemas.openxmlformats.org/officeDocument/2006/relationships/hyperlink" Target="https://purl.bdrc.io/resource/MW00EGS1017151_352CF5" TargetMode="External"/><Relationship Id="rId49" Type="http://schemas.openxmlformats.org/officeDocument/2006/relationships/hyperlink" Target="https://purl.bdrc.io/resource/MW1CZ930" TargetMode="External"/><Relationship Id="rId50" Type="http://schemas.openxmlformats.org/officeDocument/2006/relationships/hyperlink" Target="https://library.bdrc.io/show/bdr:MW22084" TargetMode="External"/><Relationship Id="rId51" Type="http://schemas.openxmlformats.org/officeDocument/2006/relationships/hyperlink" Target="https://library.bdrc.io/show/bdr:MW23703" TargetMode="External"/><Relationship Id="rId52" Type="http://schemas.openxmlformats.org/officeDocument/2006/relationships/hyperlink" Target="https://library.bdrc.io/show/bdr:MW22083" TargetMode="External"/><Relationship Id="rId53" Type="http://schemas.openxmlformats.org/officeDocument/2006/relationships/hyperlink" Target="https://library.bdrc.io/show/bdr:MW22703" TargetMode="External"/><Relationship Id="rId54" Type="http://schemas.openxmlformats.org/officeDocument/2006/relationships/hyperlink" Target="https://library.bdrc.io/show/bdr:MW22704" TargetMode="External"/><Relationship Id="rId55" Type="http://schemas.openxmlformats.org/officeDocument/2006/relationships/hyperlink" Target="https://library.bdrc.io/show/bdr:MW21939" TargetMode="External"/><Relationship Id="rId56" Type="http://schemas.openxmlformats.org/officeDocument/2006/relationships/hyperlink" Target="https://library.bdrc.io/show/bdr:MW21521" TargetMode="External"/><Relationship Id="rId57" Type="http://schemas.openxmlformats.org/officeDocument/2006/relationships/hyperlink" Target="https://library.bdrc.io/show/bdr:MW21519" TargetMode="External"/><Relationship Id="rId58" Type="http://schemas.openxmlformats.org/officeDocument/2006/relationships/hyperlink" Target="https://www.oeaw.ac.at/en/ikga/publikationen/reihen/beitraege-zur-kultur-und-geistesgeschichte-asiens-bkga/the-kilaya-nirvana-tantra-and-the-vajra-wrath-tantra" TargetMode="External"/><Relationship Id="rId59" Type="http://schemas.openxmlformats.org/officeDocument/2006/relationships/hyperlink" Target="https://zenodo.org/records/5704897" TargetMode="External"/><Relationship Id="rId60" Type="http://schemas.openxmlformats.org/officeDocument/2006/relationships/hyperlink" Target="https://www.shambhala.com/buton-s-history-of-buddhism-in-india-and-its-spread-to-tibet-2779.html" TargetMode="External"/><Relationship Id="rId61" Type="http://schemas.openxmlformats.org/officeDocument/2006/relationships/hyperlink" Target="https://archive.org/details/in.ernet.dli.2015.280871" TargetMode="External"/><Relationship Id="rId62" Type="http://schemas.openxmlformats.org/officeDocument/2006/relationships/hyperlink" Target="https://www.shambhala.com/nagarjuna/" TargetMode="External"/><Relationship Id="rId63" Type="http://schemas.openxmlformats.org/officeDocument/2006/relationships/hyperlink" Target="https://archive.org/details/isbn_3700129564" TargetMode="External"/><Relationship Id="rId64" Type="http://schemas.openxmlformats.org/officeDocument/2006/relationships/hyperlink" Target="https://www.csmc.uni-hamburg.de/publications/aom/mom/29-en.html" TargetMode="External"/><Relationship Id="rId65" Type="http://schemas.openxmlformats.org/officeDocument/2006/relationships/hyperlink" Target="https://journaloftibetanliterature.org/index.php/jtl/article/view/42" TargetMode="External"/><Relationship Id="rId66" Type="http://schemas.openxmlformats.org/officeDocument/2006/relationships/hyperlink" Target="https://library.bdrc.io/show/bdr%3AMW26008" TargetMode="External"/><Relationship Id="rId67" Type="http://schemas.openxmlformats.org/officeDocument/2006/relationships/hyperlink" Target="https://tibetan.works/" TargetMode="External"/><Relationship Id="rId68" Type="http://schemas.openxmlformats.org/officeDocument/2006/relationships/hyperlink" Target="https://github.com/84000/data-tei" TargetMode="External"/><Relationship Id="rId69" Type="http://schemas.openxmlformats.org/officeDocument/2006/relationships/hyperlink" Target="https://github.com/84000/data-translation-memory" TargetMode="External"/><Relationship Id="rId70" Type="http://schemas.openxmlformats.org/officeDocument/2006/relationships/hyperlink" Target="https://github.com/84000/data-rdf" TargetMode="External"/><Relationship Id="rId71" Type="http://schemas.openxmlformats.org/officeDocument/2006/relationships/hyperlink" Target="https://otdo.aa-ken.jp/archives?p=ITJ_0750" TargetMode="External"/><Relationship Id="rId72" Type="http://schemas.openxmlformats.org/officeDocument/2006/relationships/hyperlink" Target="https://otdo.aa-ken.jp/archives?p=Pt_1288" TargetMode="External"/><Relationship Id="rId73" Type="http://schemas.openxmlformats.org/officeDocument/2006/relationships/hyperlink" Target="https://otdo.aa-ken.jp/archives?p=insc_Bsam" TargetMode="External"/><Relationship Id="rId74" Type="http://schemas.openxmlformats.org/officeDocument/2006/relationships/hyperlink" Target="https://otdo.aa-ken.jp/archives?p=S_09498_A" TargetMode="External"/><Relationship Id="rId75" Type="http://schemas.openxmlformats.org/officeDocument/2006/relationships/hyperlink" Target="https://otdo.aa-ken.jp/archives?p=insc_Treaty" TargetMode="External"/><Relationship Id="rId76" Type="http://schemas.openxmlformats.org/officeDocument/2006/relationships/hyperlink" Target="https://idp.bl.uk/collection/69216F1E294E4CC4A074E5C19F18D245/" TargetMode="External"/><Relationship Id="rId77" Type="http://schemas.openxmlformats.org/officeDocument/2006/relationships/hyperlink" Target="https://idp.bl.uk/collection/DA2FCB12DA574142B860494402F7E804/" TargetMode="External"/><Relationship Id="rId78" Type="http://schemas.openxmlformats.org/officeDocument/2006/relationships/hyperlink" Target="https://zenodo.org/records/14247731" TargetMode="External"/><Relationship Id="rId79" Type="http://schemas.openxmlformats.org/officeDocument/2006/relationships/hyperlink" Target="https://www.rkts.org/" TargetMode="External"/><Relationship Id="rId80" Type="http://schemas.openxmlformats.org/officeDocument/2006/relationships/hyperlink" Target="https://tmpv.univie.ac.at/2017-namgyal-upper-mustang" TargetMode="External"/><Relationship Id="rId81" Type="http://schemas.openxmlformats.org/officeDocument/2006/relationships/hyperlink" Target="https://otdo.aa-ken.jp/" TargetMode="External"/><Relationship Id="rId82" Type="http://schemas.openxmlformats.org/officeDocument/2006/relationships/hyperlink" Target="https://github.com/84000/all-data/blob/master/Terms_of_Us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T2-42</dc:title>
  <dc:subject>Имперский тибетский переводческий проект и формирование канона</dc:subject>
  <dc:creator>ToS / Древо Софии</dc:creator>
  <cp:keywords>T2-42; corpus; rights; тибетский канон; доступ</cp:keywords>
  <dc:description>generated by python-docx</dc:description>
  <cp:lastModifiedBy/>
  <cp:revision>1</cp:revision>
  <dcterms:created xsi:type="dcterms:W3CDTF">2013-12-23T23:15:00Z</dcterms:created>
  <dcterms:modified xsi:type="dcterms:W3CDTF">2013-12-23T23:15:00Z</dcterms:modified>
  <cp:category/>
</cp:coreProperties>
</file>