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jc w:val="left"/>
      </w:pPr>
      <w:r>
        <w:t>ToS Corpus &amp; Rights Registry</w:t>
      </w:r>
    </w:p>
    <w:p>
      <w:pPr>
        <w:pStyle w:val="ReportSubtitle"/>
      </w:pPr>
      <w:r>
        <w:t>A18 — Южная Азия — Шраманские традиции: ранний буддизм, джайнизм, дисциплина</w:t>
      </w:r>
    </w:p>
    <w:p>
      <w:pPr>
        <w:spacing w:before="360" w:after="40"/>
      </w:pPr>
      <w:r>
        <w:rPr>
          <w:rFonts w:ascii="Noto Sans" w:hAnsi="Noto Sans"/>
          <w:b/>
          <w:color w:val="C49A46"/>
          <w:sz w:val="32"/>
        </w:rPr>
        <w:t>Исследовательский пакет доступа, изданий, свидетелей и прав</w:t>
      </w:r>
    </w:p>
    <w:p>
      <w:pPr>
        <w:spacing w:after="360"/>
      </w:pPr>
      <w:r>
        <w:rPr>
          <w:rFonts w:ascii="Noto Sans" w:hAnsi="Noto Sans"/>
          <w:color w:val="5E6A73"/>
          <w:sz w:val="21"/>
        </w:rPr>
        <w:t>Статус мастер-строки: A  |  Проверка: 3 сентября 2026  |  Реестр: 113 записей  |  Пробелы: 23</w:t>
      </w:r>
    </w:p>
    <w:tbl>
      <w:tblPr>
        <w:tblW w:type="auto" w:w="0"/>
        <w:jc w:val="center"/>
        <w:tblLayout w:type="autofit"/>
        <w:tblLook w:firstColumn="1" w:firstRow="1" w:lastColumn="0" w:lastRow="0" w:noHBand="0" w:noVBand="1" w:val="04A0"/>
      </w:tblPr>
      <w:tblGrid>
        <w:gridCol w:w="9808"/>
      </w:tblGrid>
      <w:tr>
        <w:tc>
          <w:tcPr>
            <w:tcW w:type="dxa" w:w="9808"/>
            <w:shd w:fill="E8F3F3"/>
            <w:tcBorders>
              <w:top w:val="single" w:sz="4" w:color="D9E2E8"/>
              <w:left w:val="single" w:sz="18" w:color="2B6777"/>
              <w:bottom w:val="single" w:sz="4" w:color="D9E2E8"/>
              <w:right w:val="single" w:sz="4" w:color="D9E2E8"/>
            </w:tcBorders>
            <w:tcMar>
              <w:top w:w="120" w:type="dxa"/>
              <w:start w:w="160" w:type="dxa"/>
              <w:bottom w:w="120" w:type="dxa"/>
              <w:end w:w="160" w:type="dxa"/>
            </w:tcMar>
          </w:tcPr>
          <w:p>
            <w:pPr>
              <w:spacing w:after="40"/>
            </w:pPr>
            <w:r/>
            <w:r>
              <w:rPr>
                <w:rFonts w:ascii="Noto Sans" w:hAnsi="Noto Sans"/>
                <w:b/>
                <w:color w:val="2B6777"/>
                <w:sz w:val="20"/>
              </w:rPr>
              <w:t>Фокус пакета</w:t>
            </w:r>
          </w:p>
          <w:p>
            <w:pPr>
              <w:spacing w:after="0" w:line="252" w:lineRule="auto"/>
            </w:pPr>
            <w:r>
              <w:rPr>
                <w:rFonts w:ascii="Noto Serif" w:hAnsi="Noto Serif"/>
                <w:color w:val="23313F"/>
                <w:sz w:val="18"/>
              </w:rPr>
              <w:t>Не исторический пересказ, а карта законных и практически полезных путей: где читать, скачивать, сверять оригинал или перевод, обращаться к рукописи, покупать современное издание, брать данные для машинной обработки и где ToS обязан ограничиться внешней ссылкой.</w:t>
            </w:r>
          </w:p>
        </w:tc>
      </w:tr>
    </w:tbl>
    <w:p>
      <w:pPr>
        <w:spacing w:after="0"/>
      </w:pPr>
    </w:p>
    <w:p>
      <w:pPr>
        <w:spacing w:before="360" w:after="80"/>
      </w:pPr>
      <w:r>
        <w:rPr>
          <w:rFonts w:ascii="Noto Sans" w:hAnsi="Noto Sans"/>
          <w:b/>
          <w:color w:val="17324D"/>
          <w:sz w:val="20"/>
        </w:rPr>
        <w:t>Исходный документ</w:t>
      </w:r>
    </w:p>
    <w:p>
      <w:pPr>
        <w:pStyle w:val="SmallNote"/>
      </w:pPr>
      <w:r>
        <w:t>ToS Deep Research_ A18 — Южная Азия — Шраманские традиции_ ранний буддизм, джайнизм, дисциплина(1).docx</w:t>
      </w:r>
    </w:p>
    <w:p>
      <w:pPr>
        <w:pStyle w:val="SmallNote"/>
      </w:pPr>
      <w:r>
        <w:t>Сопроводительный реестр: ToS_Corpus_Rights_A18_registry.xlsx</w:t>
      </w:r>
    </w:p>
    <w:p>
      <w:r>
        <w:br w:type="page"/>
      </w:r>
    </w:p>
    <w:p>
      <w:pPr>
        <w:pStyle w:val="Heading1"/>
        <w:keepNext/>
      </w:pPr>
      <w:r>
        <w:t>1. Паспорт</w:t>
      </w:r>
    </w:p>
    <w:tbl>
      <w:tblPr>
        <w:tblW w:type="auto" w:w="0"/>
        <w:jc w:val="center"/>
        <w:tblLayout w:type="fixed"/>
        <w:tblLook w:firstColumn="1" w:firstRow="1" w:lastColumn="0" w:lastRow="0" w:noHBand="0" w:noVBand="1" w:val="04A0"/>
      </w:tblPr>
      <w:tblGrid>
        <w:gridCol w:w="4904"/>
        <w:gridCol w:w="4904"/>
      </w:tblGrid>
      <w:tr>
        <w:trPr>
          <w:cantSplit/>
          <w:cantSplit/>
        </w:trPr>
        <w:tc>
          <w:tcPr>
            <w:tcW w:type="dxa" w:w="232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ID / статус</w:t>
            </w:r>
          </w:p>
        </w:tc>
        <w:tc>
          <w:tcPr>
            <w:tcW w:type="dxa" w:w="7143"/>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A18 / A</w:t>
            </w:r>
          </w:p>
        </w:tc>
      </w:tr>
      <w:tr>
        <w:trPr>
          <w:cantSplit/>
          <w:cantSplit/>
        </w:trPr>
        <w:tc>
          <w:tcPr>
            <w:tcW w:type="dxa" w:w="232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Название</w:t>
            </w:r>
          </w:p>
        </w:tc>
        <w:tc>
          <w:tcPr>
            <w:tcW w:type="dxa" w:w="7143"/>
            <w:vAlign w:val="center"/>
            <w:tcMar>
              <w:top w:w="90" w:type="dxa"/>
              <w:start w:w="100" w:type="dxa"/>
              <w:bottom w:w="90" w:type="dxa"/>
              <w:end w:w="100" w:type="dxa"/>
            </w:tcMar>
            <w:shd w:fill="FAFBFC"/>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Южная Азия — Шраманские традиции: ранний буддизм, джайнизм, дисциплина</w:t>
            </w:r>
          </w:p>
        </w:tc>
      </w:tr>
      <w:tr>
        <w:trPr>
          <w:cantSplit/>
          <w:cantSplit/>
        </w:trPr>
        <w:tc>
          <w:tcPr>
            <w:tcW w:type="dxa" w:w="232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Историческое ядро</w:t>
            </w:r>
          </w:p>
        </w:tc>
        <w:tc>
          <w:tcPr>
            <w:tcW w:type="dxa" w:w="7143"/>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примерно VII–III вв. до н. э.; фиксация и сохранение продолжаются в более поздних редакциях, переводах и рукописях</w:t>
            </w:r>
          </w:p>
        </w:tc>
      </w:tr>
      <w:tr>
        <w:trPr>
          <w:cantSplit/>
          <w:cantSplit/>
        </w:trPr>
        <w:tc>
          <w:tcPr>
            <w:tcW w:type="dxa" w:w="232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Исходный DR</w:t>
            </w:r>
          </w:p>
        </w:tc>
        <w:tc>
          <w:tcPr>
            <w:tcW w:type="dxa" w:w="7143"/>
            <w:vAlign w:val="center"/>
            <w:tcMar>
              <w:top w:w="90" w:type="dxa"/>
              <w:start w:w="100" w:type="dxa"/>
              <w:bottom w:w="90" w:type="dxa"/>
              <w:end w:w="100" w:type="dxa"/>
            </w:tcMar>
            <w:shd w:fill="FAFBFC"/>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ToS Deep Research_ A18 — Южная Азия — Шраманские традиции_ ранний буддизм, джайнизм, дисциплина(1).docx</w:t>
            </w:r>
          </w:p>
        </w:tc>
      </w:tr>
      <w:tr>
        <w:trPr>
          <w:cantSplit/>
          <w:cantSplit/>
        </w:trPr>
        <w:tc>
          <w:tcPr>
            <w:tcW w:type="dxa" w:w="232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Дата проверки</w:t>
            </w:r>
          </w:p>
        </w:tc>
        <w:tc>
          <w:tcPr>
            <w:tcW w:type="dxa" w:w="7143"/>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2026-09-03</w:t>
            </w:r>
          </w:p>
        </w:tc>
      </w:tr>
      <w:tr>
        <w:trPr>
          <w:cantSplit/>
          <w:cantSplit/>
        </w:trPr>
        <w:tc>
          <w:tcPr>
            <w:tcW w:type="dxa" w:w="232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Языки поиска</w:t>
            </w:r>
          </w:p>
        </w:tc>
        <w:tc>
          <w:tcPr>
            <w:tcW w:type="dxa" w:w="7143"/>
            <w:vAlign w:val="center"/>
            <w:tcMar>
              <w:top w:w="90" w:type="dxa"/>
              <w:start w:w="100" w:type="dxa"/>
              <w:bottom w:w="90" w:type="dxa"/>
              <w:end w:w="100" w:type="dxa"/>
            </w:tcMar>
            <w:shd w:fill="FAFBFC"/>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русский, английский, Pāli, Sanskrit, Ardhamāgadhī/Prakrit, Gāndhārī, Classical Chinese, Tibetan; точечные запросы на Hindi и Gujarati</w:t>
            </w:r>
          </w:p>
        </w:tc>
      </w:tr>
      <w:tr>
        <w:trPr>
          <w:cantSplit/>
          <w:cantSplit/>
        </w:trPr>
        <w:tc>
          <w:tcPr>
            <w:tcW w:type="dxa" w:w="232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Файлы пакета</w:t>
            </w:r>
          </w:p>
        </w:tc>
        <w:tc>
          <w:tcPr>
            <w:tcW w:type="dxa" w:w="7143"/>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DOCX-отчёт + XLSX-реестр с листами registry и gaps</w:t>
            </w:r>
          </w:p>
        </w:tc>
      </w:tr>
    </w:tbl>
    <w:p>
      <w:pPr>
        <w:pStyle w:val="Heading2"/>
        <w:keepNext/>
      </w:pPr>
      <w:r>
        <w:t>Что считалось ядром</w:t>
      </w:r>
    </w:p>
    <w:p>
      <w:pPr>
        <w:spacing w:after="120" w:line="259" w:lineRule="auto"/>
      </w:pPr>
      <w:r>
        <w:t>Буддийское ядро составили четыре палийские Nikāya, ранняя Vinaya, Pātimokkha и Khandhaka, ранние стиховые и краткие собрания, китайские Āgama-параллели, Vinaya нескольких школ, а также материальные якоря — Bairat/Bhabru edict, Aśokan inscriptions и Gāndhārī manuscripts. Джайнское ядро охватило Ācārāṅga, Sūtrakṛtāṅga, Uttarādhyayana, Daśavaikālika, Bhagavatī/Vyākhyāprajñapti и прямых членов канонической и дисциплинарной линии.</w:t>
      </w:r>
    </w:p>
    <w:p>
      <w:pPr>
        <w:pStyle w:val="Heading2"/>
        <w:keepNext/>
      </w:pPr>
      <w:r>
        <w:t>Что искалось</w:t>
      </w:r>
    </w:p>
    <w:p>
      <w:pPr>
        <w:spacing w:after="120" w:line="259" w:lineRule="auto"/>
      </w:pPr>
      <w:r>
        <w:t>Поиск включал отдельные произведения, каноны и серии, физические свидетели, старые и современные переводы, critical/received editions, item-level catalogue entries, электронные тексты, facsimiles, datasets, APIs и сервисы доступа. Более поздние китайские и тибетские переводы, Jain codification and commentary, а также современные научные издания включались не как изменение границ A18, а как линии передачи, сохранения и практического доступа.</w:t>
      </w:r>
    </w:p>
    <w:p>
      <w:pPr>
        <w:pStyle w:val="Heading2"/>
        <w:keepNext/>
      </w:pPr>
      <w:r>
        <w:t>Классы источников и доказательств</w:t>
      </w:r>
    </w:p>
    <w:p>
      <w:pPr>
        <w:pStyle w:val="ListBullet"/>
        <w:spacing w:after="60" w:line="252" w:lineRule="auto"/>
      </w:pPr>
      <w:r>
        <w:t>Для доступа: официальные цифровые корпуса и издательские страницы, национальные и университетские библиотеки, музейные/рукописные каталоги, public-domain repositories и некоммерческие специализированные архивы.</w:t>
      </w:r>
    </w:p>
    <w:p>
      <w:pPr>
        <w:pStyle w:val="ListBullet"/>
        <w:spacing w:after="60" w:line="252" w:lineRule="auto"/>
      </w:pPr>
      <w:r>
        <w:t>Для библиографической идентификации: Taishō и Toh numbers, CKM/collection identifiers, BDRC work IDs, LCCN, ISBN, DOI, shelfmarks и записи конкретных изданий.</w:t>
      </w:r>
    </w:p>
    <w:p>
      <w:pPr>
        <w:pStyle w:val="ListBullet"/>
        <w:spacing w:after="60" w:line="252" w:lineRule="auto"/>
      </w:pPr>
      <w:r>
        <w:t>Для прав: item-level rights statements, LICENSE/README, terms of use конкретного проекта, издательская политика и — только при отсутствии явного заявления — осторожный вывод по возрасту издания и юрисдикции.</w:t>
      </w:r>
    </w:p>
    <w:p>
      <w:pPr>
        <w:pStyle w:val="ListBullet"/>
        <w:spacing w:after="60" w:line="252" w:lineRule="auto"/>
      </w:pPr>
      <w:r>
        <w:t>Общие энциклопедические и агрегаторские страницы использовались, если встречались, только как внутренние поисковые подсказки; ни одна такая страница не стала landing_url или rights_evidence_url.</w:t>
      </w:r>
    </w:p>
    <w:tbl>
      <w:tblPr>
        <w:tblW w:type="auto" w:w="0"/>
        <w:jc w:val="center"/>
        <w:tblLayout w:type="autofit"/>
        <w:tblLook w:firstColumn="1" w:firstRow="1" w:lastColumn="0" w:lastRow="0" w:noHBand="0" w:noVBand="1" w:val="04A0"/>
      </w:tblPr>
      <w:tblGrid>
        <w:gridCol w:w="9808"/>
      </w:tblGrid>
      <w:tr>
        <w:tc>
          <w:tcPr>
            <w:tcW w:type="dxa" w:w="9808"/>
            <w:shd w:fill="F8F1E3"/>
            <w:tcBorders>
              <w:top w:val="single" w:sz="4" w:color="D9E2E8"/>
              <w:left w:val="single" w:sz="18" w:color="C49A46"/>
              <w:bottom w:val="single" w:sz="4" w:color="D9E2E8"/>
              <w:right w:val="single" w:sz="4" w:color="D9E2E8"/>
            </w:tcBorders>
            <w:tcMar>
              <w:top w:w="120" w:type="dxa"/>
              <w:start w:w="160" w:type="dxa"/>
              <w:bottom w:w="120" w:type="dxa"/>
              <w:end w:w="160" w:type="dxa"/>
            </w:tcMar>
          </w:tcPr>
          <w:p>
            <w:pPr>
              <w:spacing w:after="40"/>
            </w:pPr>
            <w:r/>
            <w:r>
              <w:rPr>
                <w:rFonts w:ascii="Noto Sans" w:hAnsi="Noto Sans"/>
                <w:b/>
                <w:color w:val="C49A46"/>
                <w:sz w:val="20"/>
              </w:rPr>
              <w:t>Слабые кандидаты</w:t>
            </w:r>
          </w:p>
          <w:p>
            <w:pPr>
              <w:spacing w:after="0" w:line="252" w:lineRule="auto"/>
            </w:pPr>
            <w:r>
              <w:rPr>
                <w:rFonts w:ascii="Noto Serif" w:hAnsi="Noto Serif"/>
                <w:color w:val="23313F"/>
                <w:sz w:val="18"/>
              </w:rPr>
              <w:t>В ходе этой проверки не осталось отдельного кандидата, существование которого подтверждалось бы только слабой навигационной страницей. Все включённые записи получили более сильную корпусную, библиотечную, издательскую или институциональную опору. Лист gaps фиксирует не «неподтверждённые легенды», а реальные направления, где не найден полный цифровой вход, item-level license или законный оригинальный слой.</w:t>
            </w:r>
          </w:p>
        </w:tc>
      </w:tr>
    </w:tbl>
    <w:p>
      <w:pPr>
        <w:spacing w:after="0"/>
      </w:pPr>
    </w:p>
    <w:p>
      <w:r>
        <w:br w:type="page"/>
      </w:r>
    </w:p>
    <w:p>
      <w:pPr>
        <w:pStyle w:val="Heading1"/>
        <w:keepNext/>
      </w:pPr>
      <w:r>
        <w:t>2. Охват корпуса</w:t>
      </w:r>
    </w:p>
    <w:p>
      <w:pPr>
        <w:spacing w:after="120" w:line="259" w:lineRule="auto"/>
      </w:pPr>
      <w:r>
        <w:t>Реестр содержит 113 практически различимых записей доступа. Из них 103 ведут к первичным текстам, переводам, изданиям, свидетелям или конкретным цифровым объектам; ещё 9 описывают инфраструктуру, а 1 — вторичный навигационный сервис. После дедупликации повторных путей к тем же канонам и произведениям пакет охватывает около 60 отличимых произведений, корпусов, эпиграфических групп и физических свидетелей. Это различие принципиально: три BDK volumes или два независимых корпуса одного Āgama — несколько путей доступа, но не несколько древних произведений.</w:t>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vAlign w:val="center"/>
            <w:tcMar>
              <w:top w:w="90" w:type="dxa"/>
              <w:start w:w="100" w:type="dxa"/>
              <w:bottom w:w="90" w:type="dxa"/>
              <w:end w:w="100" w:type="dxa"/>
            </w:tcMar>
            <w:shd w:fill="17324D"/>
          </w:tcPr>
          <w:p>
            <w:pPr>
              <w:spacing w:after="0" w:before="0" w:line="240" w:lineRule="auto"/>
            </w:pPr>
            <w:r/>
            <w:r>
              <w:rPr>
                <w:rFonts w:ascii="Noto Sans" w:hAnsi="Noto Sans"/>
                <w:b/>
                <w:color w:val="FFFFFF"/>
                <w:sz w:val="18"/>
              </w:rPr>
              <w:t>Категория</w:t>
            </w:r>
          </w:p>
        </w:tc>
        <w:tc>
          <w:tcPr>
            <w:tcW w:type="dxa" w:w="3269"/>
            <w:vAlign w:val="center"/>
            <w:tcMar>
              <w:top w:w="90" w:type="dxa"/>
              <w:start w:w="100" w:type="dxa"/>
              <w:bottom w:w="90" w:type="dxa"/>
              <w:end w:w="100" w:type="dxa"/>
            </w:tcMar>
            <w:shd w:fill="17324D"/>
          </w:tcPr>
          <w:p>
            <w:pPr>
              <w:spacing w:after="0" w:before="0" w:line="240" w:lineRule="auto"/>
            </w:pPr>
            <w:r/>
            <w:r>
              <w:rPr>
                <w:rFonts w:ascii="Noto Sans" w:hAnsi="Noto Sans"/>
                <w:b/>
                <w:color w:val="FFFFFF"/>
                <w:sz w:val="18"/>
              </w:rPr>
              <w:t>Количество</w:t>
            </w:r>
          </w:p>
        </w:tc>
        <w:tc>
          <w:tcPr>
            <w:tcW w:type="dxa" w:w="3269"/>
            <w:vAlign w:val="center"/>
            <w:tcMar>
              <w:top w:w="90" w:type="dxa"/>
              <w:start w:w="100" w:type="dxa"/>
              <w:bottom w:w="90" w:type="dxa"/>
              <w:end w:w="100" w:type="dxa"/>
            </w:tcMar>
            <w:shd w:fill="17324D"/>
          </w:tcPr>
          <w:p>
            <w:pPr>
              <w:spacing w:after="0" w:before="0" w:line="240" w:lineRule="auto"/>
            </w:pPr>
            <w:r/>
            <w:r>
              <w:rPr>
                <w:rFonts w:ascii="Noto Sans" w:hAnsi="Noto Sans"/>
                <w:b/>
                <w:color w:val="FFFFFF"/>
                <w:sz w:val="18"/>
              </w:rPr>
              <w:t>Смысл</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Все access records</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2B6777"/>
                <w:sz w:val="20"/>
              </w:rPr>
              <w:t>113</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7"/>
              </w:rPr>
              <w:t>Каждая строка — отличимый путь к объекту/версии/свидетелю</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Core</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2B6777"/>
                <w:sz w:val="20"/>
              </w:rPr>
              <w:t>41</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7"/>
              </w:rPr>
              <w:t>Центральные объекты A18</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Same corpus/tradition</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2B6777"/>
                <w:sz w:val="20"/>
              </w:rPr>
              <w:t>25</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7"/>
              </w:rPr>
              <w:t>Прямые члены той же канонической или дисциплинарной линии</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Transmission/preservation</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2B6777"/>
                <w:sz w:val="20"/>
              </w:rPr>
              <w:t>23</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7"/>
              </w:rPr>
              <w:t>Поздние переводы и линии сохранения</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Antecedent + continuation + reception</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2B6777"/>
                <w:sz w:val="20"/>
              </w:rPr>
              <w:t>12</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7"/>
              </w:rPr>
              <w:t>Хронологический ореол с конкретной связью</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Infrastructure/navigation</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2B6777"/>
                <w:sz w:val="20"/>
              </w:rPr>
              <w:t>10</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7"/>
              </w:rPr>
              <w:t>Корпуса, каталоги и сервисы</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Gaps</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2B6777"/>
                <w:sz w:val="20"/>
              </w:rPr>
              <w:t>23</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7"/>
              </w:rPr>
              <w:t>Targeted follow-up, а не общие порталы</w:t>
            </w:r>
          </w:p>
        </w:tc>
      </w:tr>
    </w:tbl>
    <w:p>
      <w:pPr>
        <w:pStyle w:val="Heading2"/>
        <w:keepNext/>
      </w:pPr>
      <w:r>
        <w:t>Буддийское ядро</w:t>
      </w:r>
    </w:p>
    <w:p>
      <w:pPr>
        <w:spacing w:after="120" w:line="259" w:lineRule="auto"/>
      </w:pPr>
      <w:r>
        <w:t>Лучше всего закрыт палийский слой. SuttaCentral/Bilara даёт четыре Nikāya, Vinaya, Pātimokkha, Khandhaka, Sutta Nipāta, Dhammapada, Udāna, Itivuttaka, Theragāthā и Therīgāthā как связку открытого чтения, сегментированного root text и переводов. Дополнительные линии — полные традиционные Pāli editions VRI, некоммерческие переводы DhammaTalks и Pali Text Society, public-domain translations Sacred Books of the East и современные защищённые научные версии Wisdom.</w:t>
      </w:r>
    </w:p>
    <w:p>
      <w:pPr>
        <w:spacing w:after="120" w:line="259" w:lineRule="auto"/>
      </w:pPr>
      <w:r>
        <w:t>Китайские Dīrgha, Madhyama, Saṃyukta и Ekottarika Āgamas представлены двумя независимыми электронными базами — CBETA и SAT. Это не просто поздние «переводы по теме»: они сохраняют параллельные редакции раннего дискурсивного материала и потому относятся к transmission_or_preservation. Для Dīrgha и Madhyama добавлены современные BDK English volumes, чтобы рядом с китайским оригинальным слоем существовал законный научный перевод.</w:t>
      </w:r>
    </w:p>
    <w:p>
      <w:pPr>
        <w:spacing w:after="120" w:line="259" w:lineRule="auto"/>
      </w:pPr>
      <w:r>
        <w:t>Vinaya охвачена как многошкольный институт: палийский корпус, Mahīśāsaka, Mahāsāṃghika, Dharmaguptaka и Sarvāstivāda Vinayas в Chinese transmission, шесть chapter-level English translations Mūlasarvāstivāda Vinaya у 84000 и тибетский scanned witness BDRC. Такое расширение непосредственно следует логике строки: дисциплина здесь является формой коллективной памяти, нормативной антропологии и устойчивости saṅgha.</w:t>
      </w:r>
    </w:p>
    <w:p>
      <w:pPr>
        <w:pStyle w:val="Heading2"/>
        <w:keepNext/>
      </w:pPr>
      <w:r>
        <w:t>Гандхарские и эпиграфические свидетели</w:t>
      </w:r>
    </w:p>
    <w:p>
      <w:pPr>
        <w:spacing w:after="120" w:line="259" w:lineRule="auto"/>
      </w:pPr>
      <w:r>
        <w:t>Gandhari.org дал catalog-level и full-text access к Khaḍgaviṣāṇasūtra, Gāndhārī Dharmapada, Senior Collection Saṃyuktāgama и Śrāmaṇyaphala fragments, Bajaur Prātimokṣa и Madhyamāgama material, а также Library of Congress Bahubuddha scroll. Эти записи фиксируют не «полные каноны», а конкретные manuscripts/fragments. Отдельная LOC record и conservation documentation сохраняют физическую идентичность одного scroll, даже когда reuse rights на photographs не были подтверждены.</w:t>
      </w:r>
    </w:p>
    <w:p>
      <w:pPr>
        <w:spacing w:after="120" w:line="259" w:lineRule="auto"/>
      </w:pPr>
      <w:r>
        <w:t>Aśokan layer представлен полным Hultzsch corpus, независимым DLI mirror, public-domain Cunningham edition на Zenodo, а также отдельными work-level записями для Bairat/Bhabru, Major Rock, Pillar и Barabar cave inscriptions. Последняя группа вынесена как antecedent/contextual comparator для Ājīvika presence; она не приписывает этой традиции несуществующий письменный канон.</w:t>
      </w:r>
    </w:p>
    <w:p>
      <w:pPr>
        <w:pStyle w:val="Heading2"/>
        <w:keepNext/>
      </w:pPr>
      <w:r>
        <w:t>Джайнское ядро</w:t>
      </w:r>
    </w:p>
    <w:p>
      <w:pPr>
        <w:spacing w:after="120" w:line="259" w:lineRule="auto"/>
      </w:pPr>
      <w:r>
        <w:t>Jain corpus заметно труднее в отношении открытого original-language layer. Старые Jacobi translations дают законный public-domain gateway к Ācārāṅga, Kalpa, Uttarādhyayana и Sūtrakṛtāṅga. Jain eLibrary/JainQQ предоставляет modern Hindi/Gujarati/Prakrit-facing scans и translations для Ācārāṅga, Sūtrakṛtāṅga, Uttarādhyayana, Daśavaikālika, Bhagavatī, Sthānāṅga, Samavāyāṅga и Aupapātika, но только для personal/private use. JAINpedia добавляет три конкретных manuscript folios with item-level CC0 image statements: Jītakalpa Sāmācārī, Pārśva section of Kalpa Sūtra и cosmological Fourteen Jewels diagram.</w:t>
      </w:r>
    </w:p>
    <w:p>
      <w:pPr>
        <w:spacing w:after="120" w:line="259" w:lineRule="auto"/>
      </w:pPr>
      <w:r>
        <w:t>Поздние Jain objects включены строго по конкретной связи: Āvaśyaka tradition — как комментарийная и ритуально-дисциплинарная линия; Tattvārtha Sūtra — как систематизация ранних доктрин; Jītakalpa — как продолжение монашеской нормативности; Pārśva folio — как textual preservation of an antecedent Jain teacher; Fourteen Jewels — как рецепция и визуализация канонической космологии.</w:t>
      </w:r>
    </w:p>
    <w:p>
      <w:pPr>
        <w:pStyle w:val="Heading2"/>
        <w:keepNext/>
      </w:pPr>
      <w:r>
        <w:t>Поиск назад и вперёд</w:t>
      </w:r>
    </w:p>
    <w:p>
      <w:pPr>
        <w:pStyle w:val="ListBullet"/>
        <w:spacing w:after="60" w:line="252" w:lineRule="auto"/>
      </w:pPr>
      <w:r>
        <w:t>Назад: Upaniṣad corpus как ближайший интеллектуальный фон; Barabar/Nāgārjunī inscriptions как прямой Ājīvika comparator; Pārśva section как ранняя Jain lineage preserved in a later witness.</w:t>
      </w:r>
    </w:p>
    <w:p>
      <w:pPr>
        <w:pStyle w:val="ListBullet"/>
        <w:spacing w:after="60" w:line="252" w:lineRule="auto"/>
      </w:pPr>
      <w:r>
        <w:t>Вперёд: Chinese Āgamas и school Vinayas, Tibetan Mūlasarvāstivāda chapters, Samantapāsādikā commentary, Jain Āvaśyaka/Jītakalpa/Tattvārtha lines, modern critical translations and digital corpora.</w:t>
      </w:r>
    </w:p>
    <w:p>
      <w:pPr>
        <w:pStyle w:val="ListBullet"/>
        <w:spacing w:after="60" w:line="252" w:lineRule="auto"/>
      </w:pPr>
      <w:r>
        <w:t>Граница не расширялась до общей истории Buddhism/Jainism: Mahāyāna sūtras, Abhidharma systems и поздняя scholastic literature не включались без прямой дисциплинарной, канонической или transmission link к A18.</w:t>
      </w:r>
    </w:p>
    <w:p>
      <w:r>
        <w:br w:type="page"/>
      </w:r>
    </w:p>
    <w:p>
      <w:pPr>
        <w:pStyle w:val="Heading1"/>
        <w:keepNext/>
      </w:pPr>
      <w:r>
        <w:t>3. Лучшие пути доступа</w:t>
      </w:r>
    </w:p>
    <w:p>
      <w:pPr>
        <w:spacing w:after="120" w:line="259" w:lineRule="auto"/>
      </w:pPr>
      <w:r>
        <w:t>Ниже перечислены не все 113 записей, а лучшие маршруты по главным объектам. Record IDs ведут к подробным правам, coverage и evidence в XLSX.</w:t>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vAlign w:val="center"/>
            <w:tcMar>
              <w:top w:w="90" w:type="dxa"/>
              <w:start w:w="100" w:type="dxa"/>
              <w:bottom w:w="90" w:type="dxa"/>
              <w:end w:w="100" w:type="dxa"/>
            </w:tcMar>
            <w:shd w:fill="17324D"/>
          </w:tcPr>
          <w:p>
            <w:pPr>
              <w:spacing w:after="0" w:before="0" w:line="240" w:lineRule="auto"/>
            </w:pPr>
            <w:r/>
            <w:r>
              <w:rPr>
                <w:rFonts w:ascii="Noto Sans" w:hAnsi="Noto Sans"/>
                <w:b/>
                <w:color w:val="FFFFFF"/>
                <w:sz w:val="17"/>
              </w:rPr>
              <w:t>Группа / registry</w:t>
            </w:r>
          </w:p>
        </w:tc>
        <w:tc>
          <w:tcPr>
            <w:tcW w:type="dxa" w:w="2452"/>
            <w:vAlign w:val="center"/>
            <w:tcMar>
              <w:top w:w="90" w:type="dxa"/>
              <w:start w:w="100" w:type="dxa"/>
              <w:bottom w:w="90" w:type="dxa"/>
              <w:end w:w="100" w:type="dxa"/>
            </w:tcMar>
            <w:shd w:fill="17324D"/>
          </w:tcPr>
          <w:p>
            <w:pPr>
              <w:spacing w:after="0" w:before="0" w:line="240" w:lineRule="auto"/>
            </w:pPr>
            <w:r/>
            <w:r>
              <w:rPr>
                <w:rFonts w:ascii="Noto Sans" w:hAnsi="Noto Sans"/>
                <w:b/>
                <w:color w:val="FFFFFF"/>
                <w:sz w:val="17"/>
              </w:rPr>
              <w:t>Лучший вход</w:t>
            </w:r>
          </w:p>
        </w:tc>
        <w:tc>
          <w:tcPr>
            <w:tcW w:type="dxa" w:w="2452"/>
            <w:vAlign w:val="center"/>
            <w:tcMar>
              <w:top w:w="90" w:type="dxa"/>
              <w:start w:w="100" w:type="dxa"/>
              <w:bottom w:w="90" w:type="dxa"/>
              <w:end w:w="100" w:type="dxa"/>
            </w:tcMar>
            <w:shd w:fill="17324D"/>
          </w:tcPr>
          <w:p>
            <w:pPr>
              <w:spacing w:after="0" w:before="0" w:line="240" w:lineRule="auto"/>
            </w:pPr>
            <w:r/>
            <w:r>
              <w:rPr>
                <w:rFonts w:ascii="Noto Sans" w:hAnsi="Noto Sans"/>
                <w:b/>
                <w:color w:val="FFFFFF"/>
                <w:sz w:val="17"/>
              </w:rPr>
              <w:t>Почему лучший</w:t>
            </w:r>
          </w:p>
        </w:tc>
        <w:tc>
          <w:tcPr>
            <w:tcW w:type="dxa" w:w="2452"/>
            <w:vAlign w:val="center"/>
            <w:tcMar>
              <w:top w:w="90" w:type="dxa"/>
              <w:start w:w="100" w:type="dxa"/>
              <w:bottom w:w="90" w:type="dxa"/>
              <w:end w:w="100" w:type="dxa"/>
            </w:tcMar>
            <w:shd w:fill="17324D"/>
          </w:tcPr>
          <w:p>
            <w:pPr>
              <w:spacing w:after="0" w:before="0" w:line="240" w:lineRule="auto"/>
            </w:pPr>
            <w:r/>
            <w:r>
              <w:rPr>
                <w:rFonts w:ascii="Noto Sans" w:hAnsi="Noto Sans"/>
                <w:b/>
                <w:color w:val="FFFFFF"/>
                <w:sz w:val="17"/>
              </w:rPr>
              <w:t>Режим</w:t>
            </w:r>
          </w:p>
        </w:tc>
      </w:tr>
      <w:tr>
        <w:trPr>
          <w:cantSplit/>
        </w:trPr>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6"/>
              </w:rPr>
              <w:t>Четыре Nikāya и Pāli root</w:t>
              <w:br/>
              <w:t>A18-R001–R005</w:t>
            </w:r>
          </w:p>
        </w:tc>
        <w:tc>
          <w:tcPr>
            <w:tcW w:type="dxa" w:w="2452"/>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pPr>
            <w:r/>
            <w:hyperlink r:id="rId11">
              <w:r>
                <w:rPr>
                  <w:color w:val="2B6777"/>
                  <w:u w:val="single"/>
                  <w:rFonts w:ascii="Noto Sans" w:hAnsi="Noto Sans" w:eastAsia="Noto Sans"/>
                </w:rPr>
                <w:t>SuttaCentral/Bilara</w:t>
              </w:r>
            </w:hyperlink>
          </w:p>
        </w:tc>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Бесплатное чтение + CC0 segmented data; лучший machine-readable слой.</w:t>
            </w:r>
          </w:p>
        </w:tc>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val="0"/>
                <w:color w:val="2B6777"/>
                <w:sz w:val="16"/>
              </w:rPr>
              <w:t>open/machine</w:t>
            </w:r>
          </w:p>
        </w:tc>
      </w:tr>
      <w:tr>
        <w:trPr>
          <w:cantSplit/>
        </w:trPr>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6"/>
              </w:rPr>
              <w:t>Pāli Vinaya / Pātimokkha / Khandhaka</w:t>
              <w:br/>
              <w:t>A18-R006–R008</w:t>
            </w:r>
          </w:p>
        </w:tc>
        <w:tc>
          <w:tcPr>
            <w:tcW w:type="dxa" w:w="2452"/>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pPr>
            <w:r/>
            <w:hyperlink r:id="rId12">
              <w:r>
                <w:rPr>
                  <w:color w:val="2B6777"/>
                  <w:u w:val="single"/>
                  <w:rFonts w:ascii="Noto Sans" w:hAnsi="Noto Sans" w:eastAsia="Noto Sans"/>
                </w:rPr>
                <w:t>SuttaCentral</w:t>
              </w:r>
            </w:hyperlink>
          </w:p>
        </w:tc>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Открытый Pāli root и переводы; пригодно для own translation, indexing и embeddings в пределах Bilara.</w:t>
            </w:r>
          </w:p>
        </w:tc>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val="0"/>
                <w:color w:val="2B6777"/>
                <w:sz w:val="16"/>
              </w:rPr>
              <w:t>open/machine</w:t>
            </w:r>
          </w:p>
        </w:tc>
      </w:tr>
      <w:tr>
        <w:trPr>
          <w:cantSplit/>
        </w:trPr>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6"/>
              </w:rPr>
              <w:t>Современные English Nikāya translations</w:t>
              <w:br/>
              <w:t>A18-R025–R030</w:t>
            </w:r>
          </w:p>
        </w:tc>
        <w:tc>
          <w:tcPr>
            <w:tcW w:type="dxa" w:w="2452"/>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pPr>
            <w:r/>
            <w:hyperlink r:id="rId13">
              <w:r>
                <w:rPr>
                  <w:color w:val="2B6777"/>
                  <w:u w:val="single"/>
                  <w:rFonts w:ascii="Noto Sans" w:hAnsi="Noto Sans" w:eastAsia="Noto Sans"/>
                </w:rPr>
                <w:t>Wisdom Publications</w:t>
              </w:r>
            </w:hyperlink>
          </w:p>
        </w:tc>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Лучший защищённый scholarly reading route; purchase/preview, без зеркалирования.</w:t>
            </w:r>
          </w:p>
        </w:tc>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val="0"/>
                <w:color w:val="2B6777"/>
                <w:sz w:val="16"/>
              </w:rPr>
              <w:t>purchase/preview</w:t>
            </w:r>
          </w:p>
        </w:tc>
      </w:tr>
      <w:tr>
        <w:trPr>
          <w:cantSplit/>
        </w:trPr>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6"/>
              </w:rPr>
              <w:t>Chinese Āgamas</w:t>
              <w:br/>
              <w:t>A18-R037–R044</w:t>
            </w:r>
          </w:p>
        </w:tc>
        <w:tc>
          <w:tcPr>
            <w:tcW w:type="dxa" w:w="2452"/>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pPr>
            <w:r/>
            <w:hyperlink r:id="rId14">
              <w:r>
                <w:rPr>
                  <w:color w:val="2B6777"/>
                  <w:u w:val="single"/>
                  <w:rFonts w:ascii="Noto Sans" w:hAnsi="Noto Sans" w:eastAsia="Noto Sans"/>
                </w:rPr>
                <w:t>CBETA + SAT</w:t>
              </w:r>
            </w:hyperlink>
          </w:p>
        </w:tc>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CBETA — download/NC-SA reuse; SAT — независимая scholarly read-only сверка.</w:t>
            </w:r>
          </w:p>
        </w:tc>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val="0"/>
                <w:color w:val="2B6777"/>
                <w:sz w:val="16"/>
              </w:rPr>
              <w:t>read/download with conditions</w:t>
            </w:r>
          </w:p>
        </w:tc>
      </w:tr>
      <w:tr>
        <w:trPr>
          <w:cantSplit/>
        </w:trPr>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6"/>
              </w:rPr>
              <w:t>English Dīrgha/Madhyama Āgama</w:t>
              <w:br/>
              <w:t>A18-R045–R051</w:t>
            </w:r>
          </w:p>
        </w:tc>
        <w:tc>
          <w:tcPr>
            <w:tcW w:type="dxa" w:w="2452"/>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pPr>
            <w:r/>
            <w:hyperlink r:id="rId15">
              <w:r>
                <w:rPr>
                  <w:color w:val="2B6777"/>
                  <w:u w:val="single"/>
                  <w:rFonts w:ascii="Noto Sans" w:hAnsi="Noto Sans" w:eastAsia="Noto Sans"/>
                </w:rPr>
                <w:t>BDK America</w:t>
              </w:r>
            </w:hyperlink>
          </w:p>
        </w:tc>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Free personal-use PDFs + print purchase; permission needed for redistribution.</w:t>
            </w:r>
          </w:p>
        </w:tc>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val="0"/>
                <w:color w:val="2B6777"/>
                <w:sz w:val="16"/>
              </w:rPr>
              <w:t>read/download with conditions</w:t>
            </w:r>
          </w:p>
        </w:tc>
      </w:tr>
      <w:tr>
        <w:trPr>
          <w:cantSplit/>
        </w:trPr>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6"/>
              </w:rPr>
              <w:t>School Vinayas in Chinese</w:t>
              <w:br/>
              <w:t>A18-R053–R060</w:t>
            </w:r>
          </w:p>
        </w:tc>
        <w:tc>
          <w:tcPr>
            <w:tcW w:type="dxa" w:w="2452"/>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pPr>
            <w:r/>
            <w:hyperlink r:id="rId16">
              <w:r>
                <w:rPr>
                  <w:color w:val="2B6777"/>
                  <w:u w:val="single"/>
                  <w:rFonts w:ascii="Noto Sans" w:hAnsi="Noto Sans" w:eastAsia="Noto Sans"/>
                </w:rPr>
                <w:t>CBETA + SAT</w:t>
              </w:r>
            </w:hyperlink>
          </w:p>
        </w:tc>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Полные Chinese texts; права различаются между NC-SA download и SAT link-only.</w:t>
            </w:r>
          </w:p>
        </w:tc>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val="0"/>
                <w:color w:val="2B6777"/>
                <w:sz w:val="16"/>
              </w:rPr>
              <w:t>read/download with conditions</w:t>
            </w:r>
          </w:p>
        </w:tc>
      </w:tr>
      <w:tr>
        <w:trPr>
          <w:cantSplit/>
        </w:trPr>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6"/>
              </w:rPr>
              <w:t>Mūlasarvāstivāda Vinaya</w:t>
              <w:br/>
              <w:t>A18-R061–R069</w:t>
            </w:r>
          </w:p>
        </w:tc>
        <w:tc>
          <w:tcPr>
            <w:tcW w:type="dxa" w:w="2452"/>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pPr>
            <w:r/>
            <w:hyperlink r:id="rId17">
              <w:r>
                <w:rPr>
                  <w:color w:val="2B6777"/>
                  <w:u w:val="single"/>
                  <w:rFonts w:ascii="Noto Sans" w:hAnsi="Noto Sans" w:eastAsia="Noto Sans"/>
                </w:rPr>
                <w:t>84000 + BDRC</w:t>
              </w:r>
            </w:hyperlink>
          </w:p>
        </w:tc>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84000 English chapters; BDRC Tibetan witness. Условия 84000 пока draft, BDRC item-specific.</w:t>
            </w:r>
          </w:p>
        </w:tc>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val="0"/>
                <w:color w:val="2B6777"/>
                <w:sz w:val="16"/>
              </w:rPr>
              <w:t>read/download with conditions</w:t>
            </w:r>
          </w:p>
        </w:tc>
      </w:tr>
      <w:tr>
        <w:trPr>
          <w:cantSplit/>
        </w:trPr>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6"/>
              </w:rPr>
              <w:t>Gāndhārī manuscripts</w:t>
              <w:br/>
              <w:t>A18-R070–R079</w:t>
            </w:r>
          </w:p>
        </w:tc>
        <w:tc>
          <w:tcPr>
            <w:tcW w:type="dxa" w:w="2452"/>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pPr>
            <w:r/>
            <w:hyperlink r:id="rId18">
              <w:r>
                <w:rPr>
                  <w:color w:val="2B6777"/>
                  <w:u w:val="single"/>
                  <w:rFonts w:ascii="Noto Sans" w:hAnsi="Noto Sans" w:eastAsia="Noto Sans"/>
                </w:rPr>
                <w:t>Gandhari.org + LOC</w:t>
              </w:r>
            </w:hyperlink>
          </w:p>
        </w:tc>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Лучшие transcriptions/catalog IDs; image/reuse rights ещё требуют item-level работы.</w:t>
            </w:r>
          </w:p>
        </w:tc>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val="0"/>
                <w:color w:val="2B6777"/>
                <w:sz w:val="16"/>
              </w:rPr>
              <w:t>catalog/read + review</w:t>
            </w:r>
          </w:p>
        </w:tc>
      </w:tr>
      <w:tr>
        <w:trPr>
          <w:cantSplit/>
        </w:trPr>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6"/>
              </w:rPr>
              <w:t>Aśokan inscriptions</w:t>
              <w:br/>
              <w:t>A18-R080–R086</w:t>
            </w:r>
          </w:p>
        </w:tc>
        <w:tc>
          <w:tcPr>
            <w:tcW w:type="dxa" w:w="2452"/>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pPr>
            <w:r/>
            <w:hyperlink r:id="rId19">
              <w:r>
                <w:rPr>
                  <w:color w:val="2B6777"/>
                  <w:u w:val="single"/>
                  <w:rFonts w:ascii="Noto Sans" w:hAnsi="Noto Sans" w:eastAsia="Noto Sans"/>
                </w:rPr>
                <w:t>Zenodo + Internet Archive</w:t>
              </w:r>
            </w:hyperlink>
          </w:p>
        </w:tc>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Cunningham 1877 PDM — наиболее свободный; Hultzsch 1925 — лучший старый критический gateway.</w:t>
            </w:r>
          </w:p>
        </w:tc>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val="0"/>
                <w:color w:val="2B6777"/>
                <w:sz w:val="16"/>
              </w:rPr>
              <w:t>PD/open + review</w:t>
            </w:r>
          </w:p>
        </w:tc>
      </w:tr>
      <w:tr>
        <w:trPr>
          <w:cantSplit/>
        </w:trPr>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6"/>
              </w:rPr>
              <w:t>Jain early canon</w:t>
              <w:br/>
              <w:t>A18-R087–R102</w:t>
            </w:r>
          </w:p>
        </w:tc>
        <w:tc>
          <w:tcPr>
            <w:tcW w:type="dxa" w:w="2452"/>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pPr>
            <w:r/>
            <w:hyperlink r:id="rId20">
              <w:r>
                <w:rPr>
                  <w:color w:val="2B6777"/>
                  <w:u w:val="single"/>
                  <w:rFonts w:ascii="Noto Sans" w:hAnsi="Noto Sans" w:eastAsia="Noto Sans"/>
                </w:rPr>
                <w:t>Sacred Texts + JainQQ</w:t>
              </w:r>
            </w:hyperlink>
          </w:p>
        </w:tc>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Old public-domain English translations + modern private-use scans; открытый Prakrit layer остаётся неполным.</w:t>
            </w:r>
          </w:p>
        </w:tc>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val="0"/>
                <w:color w:val="2B6777"/>
                <w:sz w:val="16"/>
              </w:rPr>
              <w:t>read/download with conditions</w:t>
            </w:r>
          </w:p>
        </w:tc>
      </w:tr>
      <w:tr>
        <w:trPr>
          <w:cantSplit/>
        </w:trPr>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6"/>
              </w:rPr>
              <w:t>Jain manuscript folios</w:t>
              <w:br/>
              <w:t>A18-R103–R105</w:t>
            </w:r>
          </w:p>
        </w:tc>
        <w:tc>
          <w:tcPr>
            <w:tcW w:type="dxa" w:w="2452"/>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pPr>
            <w:r/>
            <w:hyperlink r:id="rId21">
              <w:r>
                <w:rPr>
                  <w:color w:val="2B6777"/>
                  <w:u w:val="single"/>
                  <w:rFonts w:ascii="Noto Sans" w:hAnsi="Noto Sans" w:eastAsia="Noto Sans"/>
                </w:rPr>
                <w:t>JAINpedia / British Library</w:t>
              </w:r>
            </w:hyperlink>
          </w:p>
        </w:tc>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Item-level CC0 images; mirror/OCR only for the specific image, not site metadata or whole manuscript.</w:t>
            </w:r>
          </w:p>
        </w:tc>
        <w:tc>
          <w:tcPr>
            <w:tcW w:type="dxa" w:w="2452"/>
            <w:vAlign w:val="center"/>
            <w:tcMar>
              <w:top w:w="90" w:type="dxa"/>
              <w:start w:w="100" w:type="dxa"/>
              <w:bottom w:w="90" w:type="dxa"/>
              <w:end w:w="100" w:type="dxa"/>
            </w:tcMar>
            <w:shd w:fill="F8FAFC"/>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val="0"/>
                <w:color w:val="2B6777"/>
                <w:sz w:val="16"/>
              </w:rPr>
              <w:t>item-level CC0</w:t>
            </w:r>
          </w:p>
        </w:tc>
      </w:tr>
      <w:tr>
        <w:trPr>
          <w:cantSplit/>
        </w:trPr>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6"/>
              </w:rPr>
              <w:t>Antecedent Upaniṣads</w:t>
              <w:br/>
              <w:t>A18-R108–R112</w:t>
            </w:r>
          </w:p>
        </w:tc>
        <w:tc>
          <w:tcPr>
            <w:tcW w:type="dxa" w:w="2452"/>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pPr>
            <w:r/>
            <w:hyperlink r:id="rId22">
              <w:r>
                <w:rPr>
                  <w:color w:val="2B6777"/>
                  <w:u w:val="single"/>
                  <w:rFonts w:ascii="Noto Sans" w:hAnsi="Noto Sans" w:eastAsia="Noto Sans"/>
                </w:rPr>
                <w:t>Vedic Heritage + SBE</w:t>
              </w:r>
            </w:hyperlink>
          </w:p>
        </w:tc>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Official discovery + public-domain English translations; Sanskrit original layer still requires a clean item-level source.</w:t>
            </w:r>
          </w:p>
        </w:tc>
        <w:tc>
          <w:tcPr>
            <w:tcW w:type="dxa" w:w="2452"/>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val="0"/>
                <w:color w:val="2B6777"/>
                <w:sz w:val="16"/>
              </w:rPr>
              <w:t>mixed</w:t>
            </w:r>
          </w:p>
        </w:tc>
      </w:tr>
    </w:tbl>
    <w:p>
      <w:pPr>
        <w:pStyle w:val="Heading2"/>
        <w:keepNext/>
      </w:pPr>
      <w:r>
        <w:t>Практический порядок работы</w:t>
      </w:r>
    </w:p>
    <w:p>
      <w:pPr>
        <w:pStyle w:val="ListNumber"/>
        <w:spacing w:after="80" w:line="252" w:lineRule="auto"/>
      </w:pPr>
      <w:r>
        <w:t>Для Pāli начинать с Bilara: это одновременно clean source, segmentation, translation alignment и стабильный download route.</w:t>
      </w:r>
    </w:p>
    <w:p>
      <w:pPr>
        <w:pStyle w:val="ListNumber"/>
        <w:spacing w:after="80" w:line="252" w:lineRule="auto"/>
      </w:pPr>
      <w:r>
        <w:t>Для Nikāya/Āgama comparison открывать SuttaCentral correspondence context, затем сверять Chinese text в CBETA и SAT, а современную English rendering — в BDK, если она существует.</w:t>
      </w:r>
    </w:p>
    <w:p>
      <w:pPr>
        <w:pStyle w:val="ListNumber"/>
        <w:spacing w:after="80" w:line="252" w:lineRule="auto"/>
      </w:pPr>
      <w:r>
        <w:t>Для Vinaya сначала разделить school lineage; не смешивать Pāli, Dharmaguptaka, Mahīśāsaka, Mahāsāṃghika, Sarvāstivāda и Mūlasarvāstivāda как одну редакцию.</w:t>
      </w:r>
    </w:p>
    <w:p>
      <w:pPr>
        <w:pStyle w:val="ListNumber"/>
        <w:spacing w:after="80" w:line="252" w:lineRule="auto"/>
      </w:pPr>
      <w:r>
        <w:t>Для Gandhari и Jain manuscripts фиксировать shelfmark/CKM/BDRC/LCCN и coverage каждого witness до any OCR or translation claim.</w:t>
      </w:r>
    </w:p>
    <w:p>
      <w:pPr>
        <w:pStyle w:val="ListNumber"/>
        <w:spacing w:after="80" w:line="252" w:lineRule="auto"/>
      </w:pPr>
      <w:r>
        <w:t>Для modern protected translations сохранять legal access route — purchase, personal-use PDF или link-only — даже когда ToS не может разместить копию.</w:t>
      </w:r>
    </w:p>
    <w:p>
      <w:r>
        <w:br w:type="page"/>
      </w:r>
    </w:p>
    <w:p>
      <w:pPr>
        <w:pStyle w:val="Heading1"/>
        <w:keepNext/>
      </w:pPr>
      <w:r>
        <w:t>4. Карта прав и практического использования</w:t>
      </w:r>
    </w:p>
    <w:tbl>
      <w:tblPr>
        <w:tblW w:type="auto" w:w="0"/>
        <w:jc w:val="center"/>
        <w:tblLayout w:type="autofit"/>
        <w:tblLook w:firstColumn="1" w:firstRow="1" w:lastColumn="0" w:lastRow="0" w:noHBand="0" w:noVBand="1" w:val="04A0"/>
      </w:tblPr>
      <w:tblGrid>
        <w:gridCol w:w="9808"/>
      </w:tblGrid>
      <w:tr>
        <w:tc>
          <w:tcPr>
            <w:tcW w:type="dxa" w:w="9808"/>
            <w:shd w:fill="F8F1E3"/>
            <w:tcBorders>
              <w:top w:val="single" w:sz="4" w:color="D9E2E8"/>
              <w:left w:val="single" w:sz="18" w:color="C49A46"/>
              <w:bottom w:val="single" w:sz="4" w:color="D9E2E8"/>
              <w:right w:val="single" w:sz="4" w:color="D9E2E8"/>
            </w:tcBorders>
            <w:tcMar>
              <w:top w:w="120" w:type="dxa"/>
              <w:start w:w="160" w:type="dxa"/>
              <w:bottom w:w="120" w:type="dxa"/>
              <w:end w:w="160" w:type="dxa"/>
            </w:tcMar>
          </w:tcPr>
          <w:p>
            <w:pPr>
              <w:spacing w:after="40"/>
            </w:pPr>
            <w:r/>
            <w:r>
              <w:rPr>
                <w:rFonts w:ascii="Noto Sans" w:hAnsi="Noto Sans"/>
                <w:b/>
                <w:color w:val="C49A46"/>
                <w:sz w:val="20"/>
              </w:rPr>
              <w:t>Ограничение всех положительных тегов</w:t>
            </w:r>
          </w:p>
          <w:p>
            <w:pPr>
              <w:spacing w:after="0" w:line="252" w:lineRule="auto"/>
            </w:pPr>
            <w:r>
              <w:rPr>
                <w:rFonts w:ascii="Noto Serif" w:hAnsi="Noto Serif"/>
                <w:color w:val="23313F"/>
                <w:sz w:val="18"/>
              </w:rPr>
              <w:t>Любой тег MIRROR, OCR, FULLTEXT_INDEX, EMBEDDINGS или OWN_TRANSLATION действует только в пределах rights_scope и coverage конкретной строки XLSX. Он не переносится на весь сайт, канон, серию изображений или соседний перевод.</w:t>
            </w:r>
          </w:p>
        </w:tc>
      </w:tr>
    </w:tbl>
    <w:p>
      <w:pPr>
        <w:spacing w:after="0"/>
      </w:pPr>
    </w:p>
    <w:tbl>
      <w:tblPr>
        <w:tblW w:type="auto" w:w="0"/>
        <w:jc w:val="center"/>
        <w:tblLook w:firstColumn="1" w:firstRow="1" w:lastColumn="0" w:lastRow="0" w:noHBand="0" w:noVBand="1" w:val="04A0"/>
      </w:tblPr>
      <w:tblGrid>
        <w:gridCol w:w="3269"/>
        <w:gridCol w:w="3269"/>
        <w:gridCol w:w="3269"/>
      </w:tblGrid>
      <w:tr>
        <w:trPr>
          <w:tblHeader w:val="true"/>
        </w:trPr>
        <w:tc>
          <w:tcPr>
            <w:tcW w:type="dxa" w:w="3269"/>
            <w:vAlign w:val="center"/>
            <w:tcMar>
              <w:top w:w="90" w:type="dxa"/>
              <w:start w:w="100" w:type="dxa"/>
              <w:bottom w:w="90" w:type="dxa"/>
              <w:end w:w="100" w:type="dxa"/>
            </w:tcMar>
            <w:shd w:fill="17324D"/>
          </w:tcPr>
          <w:p>
            <w:pPr>
              <w:spacing w:after="0" w:before="0" w:line="240" w:lineRule="auto"/>
            </w:pPr>
            <w:r/>
            <w:r>
              <w:rPr>
                <w:rFonts w:ascii="Noto Sans" w:hAnsi="Noto Sans"/>
                <w:b/>
                <w:color w:val="FFFFFF"/>
                <w:sz w:val="17"/>
              </w:rPr>
              <w:t>Группа</w:t>
            </w:r>
          </w:p>
        </w:tc>
        <w:tc>
          <w:tcPr>
            <w:tcW w:type="dxa" w:w="3269"/>
            <w:vAlign w:val="center"/>
            <w:tcMar>
              <w:top w:w="90" w:type="dxa"/>
              <w:start w:w="100" w:type="dxa"/>
              <w:bottom w:w="90" w:type="dxa"/>
              <w:end w:w="100" w:type="dxa"/>
            </w:tcMar>
            <w:shd w:fill="17324D"/>
          </w:tcPr>
          <w:p>
            <w:pPr>
              <w:spacing w:after="0" w:before="0" w:line="240" w:lineRule="auto"/>
            </w:pPr>
            <w:r/>
            <w:r>
              <w:rPr>
                <w:rFonts w:ascii="Noto Sans" w:hAnsi="Noto Sans"/>
                <w:b/>
                <w:color w:val="FFFFFF"/>
                <w:sz w:val="17"/>
              </w:rPr>
              <w:t>Что входит</w:t>
            </w:r>
          </w:p>
        </w:tc>
        <w:tc>
          <w:tcPr>
            <w:tcW w:type="dxa" w:w="3269"/>
            <w:vAlign w:val="center"/>
            <w:tcMar>
              <w:top w:w="90" w:type="dxa"/>
              <w:start w:w="100" w:type="dxa"/>
              <w:bottom w:w="90" w:type="dxa"/>
              <w:end w:w="100" w:type="dxa"/>
            </w:tcMar>
            <w:shd w:fill="17324D"/>
          </w:tcPr>
          <w:p>
            <w:pPr>
              <w:spacing w:after="0" w:before="0" w:line="240" w:lineRule="auto"/>
            </w:pPr>
            <w:r/>
            <w:r>
              <w:rPr>
                <w:rFonts w:ascii="Noto Sans" w:hAnsi="Noto Sans"/>
                <w:b/>
                <w:color w:val="FFFFFF"/>
                <w:sz w:val="17"/>
              </w:rPr>
              <w:t>Рекомендация ToS</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7"/>
              </w:rPr>
              <w:t>Наиболее свободный слой</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Bilara CC0; Cunningham 1877 на Zenodo с Public Domain Mark; три конкретных JAINpedia images с item-level CC0.</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MIRROR_OK возможен только для названного dataset/file/image. Сохранять provenance и scholarly attribution.</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7"/>
              </w:rPr>
              <w:t>Некомерческое переиспользование</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CBETA category-A texts; PTS named translations; DhammaTalks pages/files with CC BY-NC notice; Sacred Texts HTML transcriptions.</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Нужны attribution и ограничения NC; CBETA добавляет ShareAlike и project-specific conditions; Sacred Texts требует ссылку/уведомления.</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7"/>
              </w:rPr>
              <w:t>Только неизменённое распространение</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84000 complete translations under CC BY-NC-ND 4.0, по draft terms.</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Делиться целым неизменённым материалом noncommercially; любые adaptations/excerpts и публичные производные требуют проверки.</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7"/>
              </w:rPr>
              <w:t>Читать/скачать, но не зеркалировать</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VRI, BDK free PDFs, JainQQ, Gandhari.org, BDRC items without a confirmed open badge, SAT.</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LINK_OK и LOCAL_RESEARCH_COPY; mirror/OCR/public index/embeddings не утверждать без item-level permission.</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7"/>
              </w:rPr>
              <w:t>Purchase / preview / permission</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Wisdom modern translations и другие protected publisher editions.</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Сохранять как лучший scholarly access route; не заменять слабым пересказом и не извлекать full text для публичного ToS.</w:t>
            </w:r>
          </w:p>
        </w:tc>
      </w:tr>
      <w:tr>
        <w:trPr>
          <w:cantSplit/>
        </w:trPr>
        <w:tc>
          <w:tcPr>
            <w:tcW w:type="dxa" w:w="3269"/>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7"/>
              </w:rPr>
              <w:t>Rights mixed or unknown</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Internet Archive uploads without reliable item license; LOC photographs; GRETIL e-text; JAINpedia metadata/site text; BDRC works.</w:t>
            </w:r>
          </w:p>
        </w:tc>
        <w:tc>
          <w:tcPr>
            <w:tcW w:type="dxa" w:w="3269"/>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6"/>
              </w:rPr>
              <w:t>Проверить file provenance, component-level rights, edition date и repository terms before any public reuse.</w:t>
            </w:r>
          </w:p>
        </w:tc>
      </w:tr>
    </w:tbl>
    <w:p>
      <w:pPr>
        <w:pStyle w:val="Heading2"/>
        <w:keepNext/>
      </w:pPr>
      <w:r>
        <w:t>Зеркалирование</w:t>
      </w:r>
    </w:p>
    <w:p>
      <w:pPr>
        <w:spacing w:after="120" w:line="259" w:lineRule="auto"/>
      </w:pPr>
      <w:r>
        <w:t>Безусловно сильные candidates для ToS mirror — Bilara published data (CC0), Cunningham’s 1877 Aśoka volume on Zenodo in its declared public-domain layer и три item-level CC0 JAINpedia images. Для CBETA, PTS, DhammaTalks и Sacred Texts зеркало возможно только в обозначенном noncommercial/attribution/share-alike scope; это не «почти public domain», а отдельный режим с обязательствами.</w:t>
      </w:r>
    </w:p>
    <w:p>
      <w:pPr>
        <w:pStyle w:val="Heading2"/>
        <w:keepNext/>
      </w:pPr>
      <w:r>
        <w:t>OCR, полнотекстовый индекс и embeddings</w:t>
      </w:r>
    </w:p>
    <w:p>
      <w:pPr>
        <w:spacing w:after="120" w:line="259" w:lineRule="auto"/>
      </w:pPr>
      <w:r>
        <w:t>OCR допустим там, где ToS имеет clean image/file layer: CC0/public-domain facsimile, явная open license или собственное сканирование public-domain edition. OCR не следует автоматически ставить для BDK PDFs, JainQQ scans, LOC photography, Gandhari editorial text или BDRC witness with unresolved badge. FULLTEXT_INDEX и EMBEDDINGS оценивались отдельно: Bilara разрешает оба как CC0 data; CBETA и 84000 требуют component-level reading of their special conditions; SAT и personal-use repositories остаются link-only.</w:t>
      </w:r>
    </w:p>
    <w:p>
      <w:pPr>
        <w:pStyle w:val="Heading2"/>
        <w:keepNext/>
      </w:pPr>
      <w:r>
        <w:t>Собственный перевод ToS</w:t>
      </w:r>
    </w:p>
    <w:p>
      <w:pPr>
        <w:spacing w:after="120" w:line="259" w:lineRule="auto"/>
      </w:pPr>
      <w:r>
        <w:t>Наиболее чистая основа — CC0 Pāli root texts Bilara. Частичные основы дают Aśokan Prakrit/Brahmi transliterations and facsimiles в старых public-domain editions и конкретные CC0 Jain manuscript folios. Для Chinese Āgamas historical text itself is ancient, но использование CBETA’s digital transcription as publication base связано с NC-SA, version-preservation and alteration conditions; therefore the registry keeps RIGHTS_REVIEW_REQUIRED. Modern Wisdom, BDK, PTS, DhammaTalks and 84000 translations нельзя превращать в «свободный оригинал» только потому, что древний source work не охраняется.</w:t>
      </w:r>
    </w:p>
    <w:p>
      <w:pPr>
        <w:spacing w:after="120" w:line="259" w:lineRule="auto"/>
      </w:pPr>
      <w:r>
        <w:t>OWN_TRANSLATION_POSSIBLE никогда не означает больше, чем coverage записи. Если доступен один folio или fragment, ToS может подготовить перевод только этого witness layer, а не автоматически всего canon.</w:t>
      </w:r>
    </w:p>
    <w:p>
      <w:r>
        <w:br w:type="page"/>
      </w:r>
    </w:p>
    <w:p>
      <w:pPr>
        <w:pStyle w:val="Heading1"/>
        <w:keepNext/>
      </w:pPr>
      <w:r>
        <w:t>5. Характерные правовые тонкости</w:t>
      </w:r>
    </w:p>
    <w:p>
      <w:pPr>
        <w:keepLines/>
        <w:spacing w:after="100"/>
      </w:pPr>
      <w:r>
        <w:rPr>
          <w:rFonts w:ascii="Noto Sans" w:hAnsi="Noto Sans"/>
          <w:b/>
          <w:color w:val="2B6777"/>
        </w:rPr>
        <w:t xml:space="preserve">Древний текст ≠ свободный перевод. </w:t>
      </w:r>
      <w:r>
        <w:t>Nikāya, Āgama, Jain Āgama и Vinaya как древние works находятся вне modern copyright, но конкретный English/Russian translation, critical reconstruction, notes и typesetting могут быть полностью защищены.</w:t>
      </w:r>
    </w:p>
    <w:p>
      <w:pPr>
        <w:keepLines/>
        <w:spacing w:after="100"/>
      </w:pPr>
      <w:r>
        <w:rPr>
          <w:rFonts w:ascii="Noto Sans" w:hAnsi="Noto Sans"/>
          <w:b/>
          <w:color w:val="2B6777"/>
        </w:rPr>
        <w:t xml:space="preserve">Текст ≠ scan/photo. </w:t>
      </w:r>
      <w:r>
        <w:t>Даже public-domain manuscript не делает свободной modern museum photograph. И наоборот, CC0 image не переносит лицензию на catalog metadata, site essay или соседние folios.</w:t>
      </w:r>
    </w:p>
    <w:p>
      <w:pPr>
        <w:keepLines/>
        <w:spacing w:after="100"/>
      </w:pPr>
      <w:r>
        <w:rPr>
          <w:rFonts w:ascii="Noto Sans" w:hAnsi="Noto Sans"/>
          <w:b/>
          <w:color w:val="2B6777"/>
        </w:rPr>
        <w:t xml:space="preserve">Download ≠ redistribution. </w:t>
      </w:r>
      <w:r>
        <w:t>BDK, JainQQ и многие archive interfaces разрешают личное скачивание или просмотр, но это не доказательство MIRROR_OK.</w:t>
      </w:r>
    </w:p>
    <w:p>
      <w:pPr>
        <w:keepLines/>
        <w:spacing w:after="100"/>
      </w:pPr>
      <w:r>
        <w:rPr>
          <w:rFonts w:ascii="Noto Sans" w:hAnsi="Noto Sans"/>
          <w:b/>
          <w:color w:val="2B6777"/>
        </w:rPr>
        <w:t xml:space="preserve">Public Domain Mark ≠ license. </w:t>
      </w:r>
      <w:r>
        <w:t>PDM — rights statement, а не договорная license. Он очень полезен для Cunningham/Zenodo, но ToS всё равно должен сохранять provenance и учитывать jurisdiction.</w:t>
      </w:r>
    </w:p>
    <w:p>
      <w:pPr>
        <w:keepLines/>
        <w:spacing w:after="100"/>
      </w:pPr>
      <w:r>
        <w:rPr>
          <w:rFonts w:ascii="Noto Sans" w:hAnsi="Noto Sans"/>
          <w:b/>
          <w:color w:val="2B6777"/>
        </w:rPr>
        <w:t xml:space="preserve">Срок охраны зависит от юрисдикции. </w:t>
      </w:r>
      <w:r>
        <w:t>Old SBE and Hultzsch volumes are plainly public-domain in the United States by publication date, but international distribution should consider author death and target-country rules.</w:t>
      </w:r>
    </w:p>
    <w:p>
      <w:pPr>
        <w:keepLines/>
        <w:spacing w:after="100"/>
      </w:pPr>
      <w:r>
        <w:rPr>
          <w:rFonts w:ascii="Noto Sans" w:hAnsi="Noto Sans"/>
          <w:b/>
          <w:color w:val="2B6777"/>
        </w:rPr>
        <w:t xml:space="preserve">Project license may be component-specific. </w:t>
      </w:r>
      <w:r>
        <w:t>CBETA separates Taishō category-A texts from other collections; 84000 separates translation prose from metadata/data; BDRC mixes open and restricted items; GitHub code license cannot be copied onto dataset automatically.</w:t>
      </w:r>
    </w:p>
    <w:p>
      <w:pPr>
        <w:keepLines/>
        <w:spacing w:after="100"/>
      </w:pPr>
      <w:r>
        <w:rPr>
          <w:rFonts w:ascii="Noto Sans" w:hAnsi="Noto Sans"/>
          <w:b/>
          <w:color w:val="2B6777"/>
        </w:rPr>
        <w:t xml:space="preserve">NoDerivatives требует аккуратности. </w:t>
      </w:r>
      <w:r>
        <w:t>84000 permits sharing complete translations under BY-NC-ND; technical format shifting may be allowed under CC rules, but excerpts, edited text, derivative annotations or repackaging still need a conservative review of the draft terms.</w:t>
      </w:r>
    </w:p>
    <w:p>
      <w:pPr>
        <w:keepLines/>
        <w:spacing w:after="100"/>
      </w:pPr>
      <w:r>
        <w:rPr>
          <w:rFonts w:ascii="Noto Sans" w:hAnsi="Noto Sans"/>
          <w:b/>
          <w:color w:val="2B6777"/>
        </w:rPr>
        <w:t xml:space="preserve">Modern critical text can be the best scholarly option but not the reuse base. </w:t>
      </w:r>
      <w:r>
        <w:t>Wisdom editions remain in the registry as best reading/purchase routes even though ToS must not ingest and redistribute them.</w:t>
      </w:r>
    </w:p>
    <w:p>
      <w:pPr>
        <w:pStyle w:val="Heading2"/>
        <w:keepNext/>
      </w:pPr>
      <w:r>
        <w:t>Ключевые страницы прав</w:t>
      </w:r>
    </w:p>
    <w:p>
      <w:pPr>
        <w:pStyle w:val="ListBullet"/>
        <w:spacing w:after="40"/>
      </w:pPr>
      <w:hyperlink r:id="rId23">
        <w:r>
          <w:rPr>
            <w:color w:val="2B6777"/>
            <w:u w:val="single"/>
            <w:rFonts w:ascii="Noto Sans" w:hAnsi="Noto Sans" w:eastAsia="Noto Sans"/>
          </w:rPr>
          <w:t>Bilara LICENSE — CC0</w:t>
        </w:r>
      </w:hyperlink>
    </w:p>
    <w:p>
      <w:pPr>
        <w:pStyle w:val="ListBullet"/>
        <w:spacing w:after="40"/>
      </w:pPr>
      <w:hyperlink r:id="rId24">
        <w:r>
          <w:rPr>
            <w:color w:val="2B6777"/>
            <w:u w:val="single"/>
            <w:rFonts w:ascii="Noto Sans" w:hAnsi="Noto Sans" w:eastAsia="Noto Sans"/>
          </w:rPr>
          <w:t>CBETA copyright / category rules</w:t>
        </w:r>
      </w:hyperlink>
    </w:p>
    <w:p>
      <w:pPr>
        <w:pStyle w:val="ListBullet"/>
        <w:spacing w:after="40"/>
      </w:pPr>
      <w:hyperlink r:id="rId25">
        <w:r>
          <w:rPr>
            <w:color w:val="2B6777"/>
            <w:u w:val="single"/>
            <w:rFonts w:ascii="Noto Sans" w:hAnsi="Noto Sans" w:eastAsia="Noto Sans"/>
          </w:rPr>
          <w:t>SAT Terms of Use</w:t>
        </w:r>
      </w:hyperlink>
    </w:p>
    <w:p>
      <w:pPr>
        <w:pStyle w:val="ListBullet"/>
        <w:spacing w:after="40"/>
      </w:pPr>
      <w:hyperlink r:id="rId15">
        <w:r>
          <w:rPr>
            <w:color w:val="2B6777"/>
            <w:u w:val="single"/>
            <w:rFonts w:ascii="Noto Sans" w:hAnsi="Noto Sans" w:eastAsia="Noto Sans"/>
          </w:rPr>
          <w:t>BDK free PDF policy</w:t>
        </w:r>
      </w:hyperlink>
    </w:p>
    <w:p>
      <w:pPr>
        <w:pStyle w:val="ListBullet"/>
        <w:spacing w:after="40"/>
      </w:pPr>
      <w:hyperlink r:id="rId26">
        <w:r>
          <w:rPr>
            <w:color w:val="2B6777"/>
            <w:u w:val="single"/>
            <w:rFonts w:ascii="Noto Sans" w:hAnsi="Noto Sans" w:eastAsia="Noto Sans"/>
          </w:rPr>
          <w:t>Pali Text Society copyright information</w:t>
        </w:r>
      </w:hyperlink>
    </w:p>
    <w:p>
      <w:pPr>
        <w:pStyle w:val="ListBullet"/>
        <w:spacing w:after="40"/>
      </w:pPr>
      <w:hyperlink r:id="rId27">
        <w:r>
          <w:rPr>
            <w:color w:val="2B6777"/>
            <w:u w:val="single"/>
            <w:rFonts w:ascii="Noto Sans" w:hAnsi="Noto Sans" w:eastAsia="Noto Sans"/>
          </w:rPr>
          <w:t>84000 draft Terms of Use</w:t>
        </w:r>
      </w:hyperlink>
    </w:p>
    <w:p>
      <w:pPr>
        <w:pStyle w:val="ListBullet"/>
        <w:spacing w:after="40"/>
      </w:pPr>
      <w:hyperlink r:id="rId28">
        <w:r>
          <w:rPr>
            <w:color w:val="2B6777"/>
            <w:u w:val="single"/>
            <w:rFonts w:ascii="Noto Sans" w:hAnsi="Noto Sans" w:eastAsia="Noto Sans"/>
          </w:rPr>
          <w:t>BDRC access policies</w:t>
        </w:r>
      </w:hyperlink>
    </w:p>
    <w:p>
      <w:pPr>
        <w:pStyle w:val="ListBullet"/>
        <w:spacing w:after="40"/>
      </w:pPr>
      <w:hyperlink r:id="rId29">
        <w:r>
          <w:rPr>
            <w:color w:val="2B6777"/>
            <w:u w:val="single"/>
            <w:rFonts w:ascii="Noto Sans" w:hAnsi="Noto Sans" w:eastAsia="Noto Sans"/>
          </w:rPr>
          <w:t>Internet Archive rights guidance</w:t>
        </w:r>
      </w:hyperlink>
    </w:p>
    <w:p>
      <w:pPr>
        <w:pStyle w:val="ListBullet"/>
        <w:spacing w:after="40"/>
      </w:pPr>
      <w:hyperlink r:id="rId30">
        <w:r>
          <w:rPr>
            <w:color w:val="2B6777"/>
            <w:u w:val="single"/>
            <w:rFonts w:ascii="Noto Sans" w:hAnsi="Noto Sans" w:eastAsia="Noto Sans"/>
          </w:rPr>
          <w:t>Sacred Texts terms</w:t>
        </w:r>
      </w:hyperlink>
    </w:p>
    <w:p>
      <w:pPr>
        <w:pStyle w:val="ListBullet"/>
        <w:spacing w:after="40"/>
      </w:pPr>
      <w:hyperlink r:id="rId31">
        <w:r>
          <w:rPr>
            <w:color w:val="2B6777"/>
            <w:u w:val="single"/>
            <w:rFonts w:ascii="Noto Sans" w:hAnsi="Noto Sans" w:eastAsia="Noto Sans"/>
          </w:rPr>
          <w:t>Institute of Jainology / JAINpedia terms</w:t>
        </w:r>
      </w:hyperlink>
    </w:p>
    <w:tbl>
      <w:tblPr>
        <w:tblW w:type="auto" w:w="0"/>
        <w:jc w:val="center"/>
        <w:tblLayout w:type="autofit"/>
        <w:tblLook w:firstColumn="1" w:firstRow="1" w:lastColumn="0" w:lastRow="0" w:noHBand="0" w:noVBand="1" w:val="04A0"/>
      </w:tblPr>
      <w:tblGrid>
        <w:gridCol w:w="9808"/>
      </w:tblGrid>
      <w:tr>
        <w:tc>
          <w:tcPr>
            <w:tcW w:type="dxa" w:w="9808"/>
            <w:shd w:fill="E8F3F3"/>
            <w:tcBorders>
              <w:top w:val="single" w:sz="4" w:color="D9E2E8"/>
              <w:left w:val="single" w:sz="18" w:color="2B6777"/>
              <w:bottom w:val="single" w:sz="4" w:color="D9E2E8"/>
              <w:right w:val="single" w:sz="4" w:color="D9E2E8"/>
            </w:tcBorders>
            <w:tcMar>
              <w:top w:w="120" w:type="dxa"/>
              <w:start w:w="160" w:type="dxa"/>
              <w:bottom w:w="120" w:type="dxa"/>
              <w:end w:w="160" w:type="dxa"/>
            </w:tcMar>
          </w:tcPr>
          <w:p>
            <w:pPr>
              <w:spacing w:after="40"/>
            </w:pPr>
            <w:r/>
            <w:r>
              <w:rPr>
                <w:rFonts w:ascii="Noto Sans" w:hAnsi="Noto Sans"/>
                <w:b/>
                <w:color w:val="2B6777"/>
                <w:sz w:val="20"/>
              </w:rPr>
              <w:t>Рабочее правило</w:t>
            </w:r>
          </w:p>
          <w:p>
            <w:pPr>
              <w:spacing w:after="0" w:line="252" w:lineRule="auto"/>
            </w:pPr>
            <w:r>
              <w:rPr>
                <w:rFonts w:ascii="Noto Serif" w:hAnsi="Noto Serif"/>
                <w:color w:val="23313F"/>
                <w:sz w:val="18"/>
              </w:rPr>
              <w:t>Если rights_evidence_url ведёт лишь на общую policy page, она применяется только в той мере, в какой объект явно входит в её scope. Когда item-level status не открывался, registry intentionally uses low/medium confidence and RIGHTS_REVIEW_REQUIRED instead of optimistic reuse tags.</w:t>
            </w:r>
          </w:p>
        </w:tc>
      </w:tr>
    </w:tbl>
    <w:p>
      <w:pPr>
        <w:spacing w:after="0"/>
      </w:pPr>
    </w:p>
    <w:p>
      <w:r>
        <w:br w:type="page"/>
      </w:r>
    </w:p>
    <w:p>
      <w:pPr>
        <w:pStyle w:val="Heading1"/>
        <w:keepNext/>
      </w:pPr>
      <w:r>
        <w:t>6. Пробелы и дальнейший поиск</w:t>
      </w:r>
    </w:p>
    <w:p>
      <w:pPr>
        <w:spacing w:after="120" w:line="259" w:lineRule="auto"/>
      </w:pPr>
      <w:r>
        <w:t>Лист gaps содержит 23 конкретных задачи. Они не равнозначны: часть — missing content, часть — missing rights evidence, часть — необходимость найти item-level witness. Ниже — наиболее важные, отсортированные по практической отдаче для ToS.</w:t>
      </w:r>
    </w:p>
    <w:p>
      <w:pPr>
        <w:pStyle w:val="ListNumber"/>
        <w:spacing w:after="100"/>
      </w:pPr>
      <w:r>
        <w:rPr>
          <w:rFonts w:ascii="Noto Sans" w:hAnsi="Noto Sans"/>
          <w:b/>
          <w:color w:val="17324D"/>
        </w:rPr>
        <w:t xml:space="preserve">Русский слой. </w:t>
      </w:r>
      <w:r>
        <w:t>Найти полные Russian translations четырёх Nikāya с указанным переводчиком, полнотой и item-level license. Частичные анонимные веб-переводы не закрывают этот пробел.</w:t>
      </w:r>
    </w:p>
    <w:p>
      <w:pPr>
        <w:pStyle w:val="ListNumber"/>
        <w:spacing w:after="100"/>
      </w:pPr>
      <w:r>
        <w:rPr>
          <w:rFonts w:ascii="Noto Sans" w:hAnsi="Noto Sans"/>
          <w:b/>
          <w:color w:val="17324D"/>
        </w:rPr>
        <w:t xml:space="preserve">Saṃyukta и Ekottarika Āgamas. </w:t>
      </w:r>
      <w:r>
        <w:t>Проверить BDK, Dharma Drum, author repositories и university presses на complete lawful English translations and exact volume coverage.</w:t>
      </w:r>
    </w:p>
    <w:p>
      <w:pPr>
        <w:pStyle w:val="ListNumber"/>
        <w:spacing w:after="100"/>
      </w:pPr>
      <w:r>
        <w:rPr>
          <w:rFonts w:ascii="Noto Sans" w:hAnsi="Noto Sans"/>
          <w:b/>
          <w:color w:val="17324D"/>
        </w:rPr>
        <w:t xml:space="preserve">Sanskrit Prātimokṣa. </w:t>
      </w:r>
      <w:r>
        <w:t>Искать full open school-specific texts in GRETIL, SARIT, BDRC and public-domain editions; отделять manuscript transcription from modern reconstruction.</w:t>
      </w:r>
    </w:p>
    <w:p>
      <w:pPr>
        <w:pStyle w:val="ListNumber"/>
        <w:spacing w:after="100"/>
      </w:pPr>
      <w:r>
        <w:rPr>
          <w:rFonts w:ascii="Noto Sans" w:hAnsi="Noto Sans"/>
          <w:b/>
          <w:color w:val="17324D"/>
        </w:rPr>
        <w:t xml:space="preserve">Gāndhārī facsimiles. </w:t>
      </w:r>
      <w:r>
        <w:t>Найти BL shelfmark-level pages, Senior Collection and Bajaur Collection institutional custodians, IIIF manifests and image licenses. Gandhari.org transcription alone is insufficient for independent paleographic work.</w:t>
      </w:r>
    </w:p>
    <w:p>
      <w:pPr>
        <w:pStyle w:val="ListNumber"/>
        <w:spacing w:after="100"/>
      </w:pPr>
      <w:r>
        <w:rPr>
          <w:rFonts w:ascii="Noto Sans" w:hAnsi="Noto Sans"/>
          <w:b/>
          <w:color w:val="17324D"/>
        </w:rPr>
        <w:t xml:space="preserve">Aśokan physical objects. </w:t>
      </w:r>
      <w:r>
        <w:t>Найти official museum/ASI item records and photo rights for Bairat/Bhabru and selected Major Rock/Pillar witnesses; current registry is edition-centric.</w:t>
      </w:r>
    </w:p>
    <w:p>
      <w:pPr>
        <w:pStyle w:val="ListNumber"/>
        <w:spacing w:after="100"/>
      </w:pPr>
      <w:r>
        <w:rPr>
          <w:rFonts w:ascii="Noto Sans" w:hAnsi="Noto Sans"/>
          <w:b/>
          <w:color w:val="17324D"/>
        </w:rPr>
        <w:t xml:space="preserve">Open Jain Prakrit canon. </w:t>
      </w:r>
      <w:r>
        <w:t>Приоритет — Ācārāṅga, Sūtrakṛtāṅga, Uttarādhyayana, Daśavaikālika, full Bhagavatī, Āvaśyaka layers and Chedasūtras with clear reuse rights.</w:t>
      </w:r>
    </w:p>
    <w:p>
      <w:pPr>
        <w:pStyle w:val="ListNumber"/>
        <w:spacing w:after="100"/>
      </w:pPr>
      <w:r>
        <w:rPr>
          <w:rFonts w:ascii="Noto Sans" w:hAnsi="Noto Sans"/>
          <w:b/>
          <w:color w:val="17324D"/>
        </w:rPr>
        <w:t xml:space="preserve">Digambara preservation line. </w:t>
      </w:r>
      <w:r>
        <w:t>Найти authorized digital access to Ṣaṭkhaṇḍāgama and Kaṣāyapāhuda; distinguish ancient doctrinal layer from protected modern edition/translation.</w:t>
      </w:r>
    </w:p>
    <w:p>
      <w:pPr>
        <w:pStyle w:val="ListNumber"/>
        <w:spacing w:after="100"/>
      </w:pPr>
      <w:r>
        <w:rPr>
          <w:rFonts w:ascii="Noto Sans" w:hAnsi="Noto Sans"/>
          <w:b/>
          <w:color w:val="17324D"/>
        </w:rPr>
        <w:t xml:space="preserve">Rights closure. </w:t>
      </w:r>
      <w:r>
        <w:t>Re-check finalized 84000 terms, BDRC item badges, Gandhari.org reuse policy, GRETIL e-text conditions and JAINpedia metadata/image split.</w:t>
      </w:r>
    </w:p>
    <w:p>
      <w:pPr>
        <w:pStyle w:val="Heading2"/>
        <w:keepNext/>
      </w:pPr>
      <w:r>
        <w:t>Объекты, для которых полный цифровой вход не закрыт</w:t>
      </w:r>
    </w:p>
    <w:p>
      <w:pPr>
        <w:spacing w:after="120" w:line="259" w:lineRule="auto"/>
      </w:pPr>
      <w:r>
        <w:t>Наиболее существенны: complete open original-language Śvetāmbara canon, Chedasūtra discipline corpus, reliable public-domain scan of SBE 45, full Gāndhārī manuscript images, full original-language Bhagavatī, Sanskrit Prātimokṣa sets, Digambara Ṣaṭkhaṇḍāgama/Kaṣāyapāhuda and a clean Sanskrit basis for Tattvārtha Sūtra with core commentaries.</w:t>
      </w:r>
    </w:p>
    <w:p>
      <w:pPr>
        <w:pStyle w:val="Heading2"/>
        <w:keepNext/>
      </w:pPr>
      <w:r>
        <w:t>Ссылки и статусы, требующие повторной проверки</w:t>
      </w:r>
    </w:p>
    <w:p>
      <w:pPr>
        <w:pStyle w:val="ListBullet"/>
        <w:spacing w:after="60" w:line="252" w:lineRule="auto"/>
      </w:pPr>
      <w:r>
        <w:t>Library of Congress item URL returned an automated access error, although identity was corroborated by LOC conservation documentation and Gandhari.org.</w:t>
      </w:r>
    </w:p>
    <w:p>
      <w:pPr>
        <w:pStyle w:val="ListBullet"/>
        <w:spacing w:after="60" w:line="252" w:lineRule="auto"/>
      </w:pPr>
      <w:r>
        <w:t>BDRC item MW26071_0006 is JavaScript-dependent; the exact open/restricted badge and downloadable file rights must be captured manually.</w:t>
      </w:r>
    </w:p>
    <w:p>
      <w:pPr>
        <w:pStyle w:val="ListBullet"/>
        <w:spacing w:after="60" w:line="252" w:lineRule="auto"/>
      </w:pPr>
      <w:r>
        <w:t>84000 Terms of Use were labeled draft dated 15 May 2026; final wording may change.</w:t>
      </w:r>
    </w:p>
    <w:p>
      <w:pPr>
        <w:pStyle w:val="ListBullet"/>
        <w:spacing w:after="60" w:line="252" w:lineRule="auto"/>
      </w:pPr>
      <w:r>
        <w:t>Gandhari.org publicly exposes texts but no clear reuse license was located; link/read remains safe, publication of its critical transcription does not.</w:t>
      </w:r>
    </w:p>
    <w:p>
      <w:pPr>
        <w:pStyle w:val="ListBullet"/>
        <w:spacing w:after="60" w:line="252" w:lineRule="auto"/>
      </w:pPr>
      <w:r>
        <w:t>Internet Archive copies of Hultzsch/SBE should be checked for uploader provenance and item rights, despite the underlying old editions being public-domain by age in the United States.</w:t>
      </w:r>
    </w:p>
    <w:p>
      <w:pPr>
        <w:pStyle w:val="ListBullet"/>
        <w:spacing w:after="60" w:line="252" w:lineRule="auto"/>
      </w:pPr>
      <w:r>
        <w:t>JainQQ item pages are useful and legal for personal/private use, but their own notices block automated mirroring and public derivative use.</w:t>
      </w:r>
    </w:p>
    <w:tbl>
      <w:tblPr>
        <w:tblW w:type="auto" w:w="0"/>
        <w:jc w:val="center"/>
        <w:tblLayout w:type="autofit"/>
        <w:tblLook w:firstColumn="1" w:firstRow="1" w:lastColumn="0" w:lastRow="0" w:noHBand="0" w:noVBand="1" w:val="04A0"/>
      </w:tblPr>
      <w:tblGrid>
        <w:gridCol w:w="9808"/>
      </w:tblGrid>
      <w:tr>
        <w:tc>
          <w:tcPr>
            <w:tcW w:type="dxa" w:w="9808"/>
            <w:shd w:fill="F8F1E3"/>
            <w:tcBorders>
              <w:top w:val="single" w:sz="4" w:color="D9E2E8"/>
              <w:left w:val="single" w:sz="18" w:color="C49A46"/>
              <w:bottom w:val="single" w:sz="4" w:color="D9E2E8"/>
              <w:right w:val="single" w:sz="4" w:color="D9E2E8"/>
            </w:tcBorders>
            <w:tcMar>
              <w:top w:w="120" w:type="dxa"/>
              <w:start w:w="160" w:type="dxa"/>
              <w:bottom w:w="120" w:type="dxa"/>
              <w:end w:w="160" w:type="dxa"/>
            </w:tcMar>
          </w:tcPr>
          <w:p>
            <w:pPr>
              <w:spacing w:after="40"/>
            </w:pPr>
            <w:r/>
            <w:r>
              <w:rPr>
                <w:rFonts w:ascii="Noto Sans" w:hAnsi="Noto Sans"/>
                <w:b/>
                <w:color w:val="C49A46"/>
                <w:sz w:val="20"/>
              </w:rPr>
              <w:t>Что не попало в основной registry</w:t>
            </w:r>
          </w:p>
          <w:p>
            <w:pPr>
              <w:spacing w:after="0" w:line="252" w:lineRule="auto"/>
            </w:pPr>
            <w:r>
              <w:rPr>
                <w:rFonts w:ascii="Noto Serif" w:hAnsi="Noto Serif"/>
                <w:color w:val="23313F"/>
                <w:sz w:val="18"/>
              </w:rPr>
              <w:t>Ни один объект не был исключён только из-за даты. Не включались лишь тематически похожие works без конкретной canonical, disciplinary, transmission or preservation link, а также candidates without confirmation by a stronger corpus, library, publisher or institutional source.</w:t>
            </w:r>
          </w:p>
        </w:tc>
      </w:tr>
    </w:tbl>
    <w:p>
      <w:pPr>
        <w:spacing w:after="0"/>
      </w:pPr>
    </w:p>
    <w:p>
      <w:r>
        <w:br w:type="page"/>
      </w:r>
    </w:p>
    <w:p>
      <w:pPr>
        <w:pStyle w:val="Heading1"/>
        <w:keepNext/>
      </w:pPr>
      <w:r>
        <w:t>7. Итоговая оценка</w:t>
      </w:r>
    </w:p>
    <w:tbl>
      <w:tblPr>
        <w:tblW w:type="auto" w:w="0"/>
        <w:jc w:val="center"/>
        <w:tblLook w:firstColumn="1" w:firstRow="1" w:lastColumn="0" w:lastRow="0" w:noHBand="0" w:noVBand="1" w:val="04A0"/>
      </w:tblPr>
      <w:tblGrid>
        <w:gridCol w:w="4904"/>
        <w:gridCol w:w="4904"/>
      </w:tblGrid>
      <w:tr>
        <w:trPr>
          <w:tblHeader w:val="true"/>
        </w:trPr>
        <w:tc>
          <w:tcPr>
            <w:tcW w:type="dxa" w:w="4904"/>
            <w:vAlign w:val="center"/>
            <w:tcMar>
              <w:top w:w="90" w:type="dxa"/>
              <w:start w:w="100" w:type="dxa"/>
              <w:bottom w:w="90" w:type="dxa"/>
              <w:end w:w="100" w:type="dxa"/>
            </w:tcMar>
            <w:shd w:fill="17324D"/>
          </w:tcPr>
          <w:p>
            <w:pPr>
              <w:spacing w:after="0" w:before="0" w:line="240" w:lineRule="auto"/>
            </w:pPr>
            <w:r/>
            <w:r>
              <w:rPr>
                <w:rFonts w:ascii="Noto Sans" w:hAnsi="Noto Sans"/>
                <w:b/>
                <w:color w:val="FFFFFF"/>
                <w:sz w:val="18"/>
              </w:rPr>
              <w:t>Критерий</w:t>
            </w:r>
          </w:p>
        </w:tc>
        <w:tc>
          <w:tcPr>
            <w:tcW w:type="dxa" w:w="4904"/>
            <w:vAlign w:val="center"/>
            <w:tcMar>
              <w:top w:w="90" w:type="dxa"/>
              <w:start w:w="100" w:type="dxa"/>
              <w:bottom w:w="90" w:type="dxa"/>
              <w:end w:w="100" w:type="dxa"/>
            </w:tcMar>
            <w:shd w:fill="17324D"/>
          </w:tcPr>
          <w:p>
            <w:pPr>
              <w:spacing w:after="0" w:before="0" w:line="240" w:lineRule="auto"/>
            </w:pPr>
            <w:r/>
            <w:r>
              <w:rPr>
                <w:rFonts w:ascii="Noto Sans" w:hAnsi="Noto Sans"/>
                <w:b/>
                <w:color w:val="FFFFFF"/>
                <w:sz w:val="18"/>
              </w:rPr>
              <w:t>Оценка</w:t>
            </w:r>
          </w:p>
        </w:tc>
      </w:tr>
      <w:tr>
        <w:trPr>
          <w:cantSplit/>
        </w:trPr>
        <w:tc>
          <w:tcPr>
            <w:tcW w:type="dxa" w:w="490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Покрытие корпуса</w:t>
            </w:r>
          </w:p>
        </w:tc>
        <w:tc>
          <w:tcPr>
            <w:tcW w:type="dxa" w:w="4904"/>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Высокое для Buddhist core; средне-высокое для Jain named works, но ниже для complete original-language Jain canon and discipline corpora.</w:t>
            </w:r>
          </w:p>
        </w:tc>
      </w:tr>
      <w:tr>
        <w:trPr>
          <w:cantSplit/>
        </w:trPr>
        <w:tc>
          <w:tcPr>
            <w:tcW w:type="dxa" w:w="490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Оригинальные языковые слои</w:t>
            </w:r>
          </w:p>
        </w:tc>
        <w:tc>
          <w:tcPr>
            <w:tcW w:type="dxa" w:w="4904"/>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Очень сильный machine-readable Pāli layer; сильный Classical Chinese read/download layer; partial Gāndhārī transcriptions; Tibetan witness access mixed; Prakrit Jain layer remains fragmented/restricted.</w:t>
            </w:r>
          </w:p>
        </w:tc>
      </w:tr>
      <w:tr>
        <w:trPr>
          <w:cantSplit/>
        </w:trPr>
        <w:tc>
          <w:tcPr>
            <w:tcW w:type="dxa" w:w="490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Переводы</w:t>
            </w:r>
          </w:p>
        </w:tc>
        <w:tc>
          <w:tcPr>
            <w:tcW w:type="dxa" w:w="4904"/>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Широкий English layer: open, NC-licensed, personal-use and commercial scholarly editions are all preserved. Russian complete coverage remains a major gap.</w:t>
            </w:r>
          </w:p>
        </w:tc>
      </w:tr>
      <w:tr>
        <w:trPr>
          <w:cantSplit/>
        </w:trPr>
        <w:tc>
          <w:tcPr>
            <w:tcW w:type="dxa" w:w="490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Наиболее свободный слой</w:t>
            </w:r>
          </w:p>
        </w:tc>
        <w:tc>
          <w:tcPr>
            <w:tcW w:type="dxa" w:w="4904"/>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Bilara CC0, Cunningham/Zenodo PDM, and specific JAINpedia CC0 images. CBETA/PTS/DhammaTalks/Sacred Texts add useful noncommercial layers with conditions.</w:t>
            </w:r>
          </w:p>
        </w:tc>
      </w:tr>
      <w:tr>
        <w:trPr>
          <w:cantSplit/>
        </w:trPr>
        <w:tc>
          <w:tcPr>
            <w:tcW w:type="dxa" w:w="490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Главные ограничения</w:t>
            </w:r>
          </w:p>
        </w:tc>
        <w:tc>
          <w:tcPr>
            <w:tcW w:type="dxa" w:w="4904"/>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Modern translation copyright, image/facsimile rights, project-specific NC/ND/SA terms, ambiguous repository provenance, and the absence of a clearly open complete Jain Prakrit corpus.</w:t>
            </w:r>
          </w:p>
        </w:tc>
      </w:tr>
      <w:tr>
        <w:trPr>
          <w:cantSplit/>
        </w:trPr>
        <w:tc>
          <w:tcPr>
            <w:tcW w:type="dxa" w:w="4904"/>
            <w:vAlign w:val="center"/>
            <w:tcMar>
              <w:top w:w="90" w:type="dxa"/>
              <w:start w:w="100" w:type="dxa"/>
              <w:bottom w:w="90" w:type="dxa"/>
              <w:end w:w="100" w:type="dxa"/>
            </w:tcMar>
            <w:shd w:fill="EAF2F8"/>
            <w:tcBorders>
              <w:top w:val="single" w:sz="3" w:color="D9E2E8"/>
              <w:left w:val="single" w:sz="3" w:color="D9E2E8"/>
              <w:bottom w:val="single" w:sz="3" w:color="D9E2E8"/>
              <w:right w:val="single" w:sz="3" w:color="D9E2E8"/>
            </w:tcBorders>
          </w:tcPr>
          <w:p>
            <w:pPr>
              <w:spacing w:after="0" w:before="0" w:line="240" w:lineRule="auto"/>
            </w:pPr>
            <w:r/>
            <w:r>
              <w:rPr>
                <w:rFonts w:ascii="Noto Sans" w:hAnsi="Noto Sans"/>
                <w:b/>
                <w:color w:val="17324D"/>
                <w:sz w:val="18"/>
              </w:rPr>
              <w:t>Готовность к Codex</w:t>
            </w:r>
          </w:p>
        </w:tc>
        <w:tc>
          <w:tcPr>
            <w:tcW w:type="dxa" w:w="4904"/>
            <w:vAlign w:val="center"/>
            <w:tcMar>
              <w:top w:w="90" w:type="dxa"/>
              <w:start w:w="100" w:type="dxa"/>
              <w:bottom w:w="90" w:type="dxa"/>
              <w:end w:w="100" w:type="dxa"/>
            </w:tcMar>
            <w:tcBorders>
              <w:top w:val="single" w:sz="3" w:color="D9E2E8"/>
              <w:left w:val="single" w:sz="3" w:color="D9E2E8"/>
              <w:bottom w:val="single" w:sz="3" w:color="D9E2E8"/>
              <w:right w:val="single" w:sz="3" w:color="D9E2E8"/>
            </w:tcBorders>
          </w:tcPr>
          <w:p>
            <w:pPr>
              <w:spacing w:after="0" w:before="0" w:line="240" w:lineRule="auto"/>
            </w:pPr>
            <w:r/>
            <w:r>
              <w:rPr>
                <w:rFonts w:ascii="Noto Serif" w:hAnsi="Noto Serif"/>
                <w:b w:val="0"/>
                <w:color w:val="23313F"/>
                <w:sz w:val="18"/>
              </w:rPr>
              <w:t>Да. XLSX has stable record IDs, explicit object/access/coverage fields, component-level rights, evidence URLs, ToS actions and a targeted gaps sheet. It is suitable for later deduplication and graph normalization without changing A18 boundaries.</w:t>
            </w:r>
          </w:p>
        </w:tc>
      </w:tr>
    </w:tbl>
    <w:tbl>
      <w:tblPr>
        <w:tblW w:type="auto" w:w="0"/>
        <w:jc w:val="center"/>
        <w:tblLayout w:type="autofit"/>
        <w:tblLook w:firstColumn="1" w:firstRow="1" w:lastColumn="0" w:lastRow="0" w:noHBand="0" w:noVBand="1" w:val="04A0"/>
      </w:tblPr>
      <w:tblGrid>
        <w:gridCol w:w="9808"/>
      </w:tblGrid>
      <w:tr>
        <w:tc>
          <w:tcPr>
            <w:tcW w:type="dxa" w:w="9808"/>
            <w:shd w:fill="E8F3F3"/>
            <w:tcBorders>
              <w:top w:val="single" w:sz="4" w:color="D9E2E8"/>
              <w:left w:val="single" w:sz="18" w:color="1E6B45"/>
              <w:bottom w:val="single" w:sz="4" w:color="D9E2E8"/>
              <w:right w:val="single" w:sz="4" w:color="D9E2E8"/>
            </w:tcBorders>
            <w:tcMar>
              <w:top w:w="120" w:type="dxa"/>
              <w:start w:w="160" w:type="dxa"/>
              <w:bottom w:w="120" w:type="dxa"/>
              <w:end w:w="160" w:type="dxa"/>
            </w:tcMar>
          </w:tcPr>
          <w:p>
            <w:pPr>
              <w:spacing w:after="40"/>
            </w:pPr>
            <w:r/>
            <w:r>
              <w:rPr>
                <w:rFonts w:ascii="Noto Sans" w:hAnsi="Noto Sans"/>
                <w:b/>
                <w:color w:val="1E6B45"/>
                <w:sz w:val="20"/>
              </w:rPr>
              <w:t>Итог</w:t>
            </w:r>
          </w:p>
          <w:p>
            <w:pPr>
              <w:spacing w:after="0" w:line="252" w:lineRule="auto"/>
            </w:pPr>
            <w:r>
              <w:rPr>
                <w:rFonts w:ascii="Noto Serif" w:hAnsi="Noto Serif"/>
                <w:color w:val="23313F"/>
                <w:sz w:val="18"/>
              </w:rPr>
              <w:t>Пакет пригоден для передачи Codex как исследовательская основа. Он не обещает больше прав, чем доказано: защищённые modern editions сохранены как lawful access routes, open licenses ограничены component scope, а unresolved rights вынесены в explicit review instead of being silently treated as free.</w:t>
            </w:r>
          </w:p>
        </w:tc>
      </w:tr>
    </w:tbl>
    <w:p>
      <w:pPr>
        <w:spacing w:after="0"/>
      </w:pPr>
    </w:p>
    <w:p>
      <w:pPr>
        <w:pStyle w:val="SmallNote"/>
        <w:spacing w:before="240"/>
        <w:jc w:val="center"/>
      </w:pPr>
      <w:r>
        <w:t>ToS / Древо Софии  •  A18  •  Corpus &amp; Rights Research  •  2026-09-03</w:t>
      </w:r>
    </w:p>
    <w:sectPr w:rsidR="00FC693F" w:rsidRPr="0006063C" w:rsidSect="00034616">
      <w:headerReference w:type="default" r:id="rId9"/>
      <w:footerReference w:type="default" r:id="rId10"/>
      <w:pgSz w:w="11906" w:h="16838"/>
      <w:pgMar w:top="1020" w:right="1049" w:bottom="964" w:left="104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Проверено: 2026-09-03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left"/>
      <w:pBdr>
        <w:bottom w:val="single" w:sz="6" w:space="5" w:color="9FB7C5"/>
      </w:pBdr>
    </w:pPr>
    <w:r>
      <w:rPr>
        <w:b/>
        <w:color w:val="2B6777"/>
      </w:rPr>
      <w:t>ToS Corpus &amp; Rights Registry  •  A18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erif" w:hAnsi="Noto Serif" w:eastAsia="Noto Serif"/>
      <w:color w:val="2331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w:hAnsi="Noto Sans" w:eastAsia="Noto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eastAsia="Noto Sans"/>
      <w:b/>
      <w:bCs/>
      <w:color w:val="2B67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w:hAnsi="Noto Serif" w:eastAsia="Noto Serif"/>
      <w:sz w:val="20"/>
    </w:rPr>
  </w:style>
  <w:style w:type="paragraph" w:styleId="ListBullet2">
    <w:name w:val="List Bullet 2"/>
    <w:basedOn w:val="Normal"/>
    <w:uiPriority w:val="99"/>
    <w:unhideWhenUsed/>
    <w:rsid w:val="00326F90"/>
    <w:pPr>
      <w:numPr>
        <w:numId w:val="2"/>
      </w:numPr>
      <w:contextualSpacing/>
    </w:pPr>
    <w:rPr>
      <w:rFonts w:ascii="Noto Serif" w:hAnsi="Noto Serif" w:eastAsia="Noto Serif"/>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w:hAnsi="Noto Serif" w:eastAsia="Noto Seri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160"/>
    </w:pPr>
    <w:rPr>
      <w:rFonts w:ascii="Noto Sans" w:hAnsi="Noto Sans" w:eastAsia="Noto Sans"/>
      <w:b/>
      <w:color w:val="17324D"/>
      <w:sz w:val="56"/>
    </w:rPr>
  </w:style>
  <w:style w:type="paragraph" w:customStyle="1" w:styleId="ReportSubtitle">
    <w:name w:val="Report Subtitle"/>
    <w:pPr>
      <w:spacing w:after="120"/>
    </w:pPr>
    <w:rPr>
      <w:rFonts w:ascii="Noto Sans" w:hAnsi="Noto Sans" w:eastAsia="Noto Sans"/>
      <w:color w:val="2B6777"/>
      <w:sz w:val="28"/>
    </w:rPr>
  </w:style>
  <w:style w:type="paragraph" w:customStyle="1" w:styleId="SmallNote">
    <w:name w:val="Small Note"/>
    <w:pPr>
      <w:spacing w:after="80"/>
    </w:pPr>
    <w:rPr>
      <w:rFonts w:ascii="Noto Sans" w:hAnsi="Noto Sans" w:eastAsia="Noto Sans"/>
      <w:color w:val="5E6A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uttacentral/bilara-data" TargetMode="External"/><Relationship Id="rId12" Type="http://schemas.openxmlformats.org/officeDocument/2006/relationships/hyperlink" Target="https://suttacentral.net/vinaya" TargetMode="External"/><Relationship Id="rId13" Type="http://schemas.openxmlformats.org/officeDocument/2006/relationships/hyperlink" Target="https://wisdomexperience.org/four-major-nikayas/" TargetMode="External"/><Relationship Id="rId14" Type="http://schemas.openxmlformats.org/officeDocument/2006/relationships/hyperlink" Target="https://cbeta.org/ebooks" TargetMode="External"/><Relationship Id="rId15" Type="http://schemas.openxmlformats.org/officeDocument/2006/relationships/hyperlink" Target="https://www.bdkamerica.org/free-pdf/" TargetMode="External"/><Relationship Id="rId16" Type="http://schemas.openxmlformats.org/officeDocument/2006/relationships/hyperlink" Target="https://cbetaonline.dila.edu.tw/T1428" TargetMode="External"/><Relationship Id="rId17" Type="http://schemas.openxmlformats.org/officeDocument/2006/relationships/hyperlink" Target="https://84000.co/translation/toh1-1" TargetMode="External"/><Relationship Id="rId18" Type="http://schemas.openxmlformats.org/officeDocument/2006/relationships/hyperlink" Target="https://gandhari.org/catalog?section=preface" TargetMode="External"/><Relationship Id="rId19" Type="http://schemas.openxmlformats.org/officeDocument/2006/relationships/hyperlink" Target="https://zenodo.org/records/3381911" TargetMode="External"/><Relationship Id="rId20" Type="http://schemas.openxmlformats.org/officeDocument/2006/relationships/hyperlink" Target="https://sacred-texts.com/jai/sbe22/index.htm" TargetMode="External"/><Relationship Id="rId21" Type="http://schemas.openxmlformats.org/officeDocument/2006/relationships/hyperlink" Target="https://jainpedia.org/manuscript/samacari-section-e2e561eacf/" TargetMode="External"/><Relationship Id="rId22" Type="http://schemas.openxmlformats.org/officeDocument/2006/relationships/hyperlink" Target="https://vedicheritage.gov.in/upanishads/" TargetMode="External"/><Relationship Id="rId23" Type="http://schemas.openxmlformats.org/officeDocument/2006/relationships/hyperlink" Target="https://github.com/suttacentral/bilara-data/blob/published/LICENSE.md" TargetMode="External"/><Relationship Id="rId24" Type="http://schemas.openxmlformats.org/officeDocument/2006/relationships/hyperlink" Target="https://cbeta.org/copyright" TargetMode="External"/><Relationship Id="rId25" Type="http://schemas.openxmlformats.org/officeDocument/2006/relationships/hyperlink" Target="https://21dzk.l.u-tokyo.ac.jp/SAT/termsofuse_en.html" TargetMode="External"/><Relationship Id="rId26" Type="http://schemas.openxmlformats.org/officeDocument/2006/relationships/hyperlink" Target="https://palitextsociety.org/copyright-information/" TargetMode="External"/><Relationship Id="rId27" Type="http://schemas.openxmlformats.org/officeDocument/2006/relationships/hyperlink" Target="https://84000.co/documents/terms-of-use" TargetMode="External"/><Relationship Id="rId28" Type="http://schemas.openxmlformats.org/officeDocument/2006/relationships/hyperlink" Target="https://www.bdrc.io/access-policies/" TargetMode="External"/><Relationship Id="rId29" Type="http://schemas.openxmlformats.org/officeDocument/2006/relationships/hyperlink" Target="https://help.archive.org/help/rights/" TargetMode="External"/><Relationship Id="rId30" Type="http://schemas.openxmlformats.org/officeDocument/2006/relationships/hyperlink" Target="https://sacred-texts.com/terms-of-service" TargetMode="External"/><Relationship Id="rId31" Type="http://schemas.openxmlformats.org/officeDocument/2006/relationships/hyperlink" Target="https://www.jainology.org/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A18</dc:title>
  <dc:subject>Южная Азия — шраманские традиции: ранний буддизм, джайнизм, дисциплина</dc:subject>
  <dc:creator>ToS / Древо Софии</dc:creator>
  <cp:keywords>ToS, A18, ранний буддизм, джайнизм, Vinaya, Nikāya, Āgama, права, доступ</cp:keywords>
  <dc:description>generated by python-docx</dc:description>
  <cp:lastModifiedBy/>
  <cp:revision>1</cp:revision>
  <dcterms:created xsi:type="dcterms:W3CDTF">2013-12-23T23:15:00Z</dcterms:created>
  <dcterms:modified xsi:type="dcterms:W3CDTF">2013-12-23T23:15:00Z</dcterms:modified>
  <cp:category/>
</cp:coreProperties>
</file>