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ИССЛЕДОВАТЕЛЬСКИЙ ПАКЕТ</w:t>
      </w:r>
    </w:p>
    <w:p>
      <w:pPr>
        <w:pStyle w:val="Title"/>
      </w:pPr>
      <w:r>
        <w:t>ToS Corpus &amp; Rights Registry</w:t>
      </w:r>
    </w:p>
    <w:p>
      <w:pPr>
        <w:pStyle w:val="Subtitle"/>
      </w:pPr>
      <w:r>
        <w:t>T2-15 — Исламская философия права,</w:t>
        <w:br/>
        <w:t>этики и адаба</w:t>
      </w:r>
    </w:p>
    <w:p>
      <w:r>
        <w:rPr>
          <w:b/>
          <w:color w:val="143C4C"/>
        </w:rPr>
        <w:t>77 записей доступа  ·  24 записи gaps  ·  статус мастер-строки B</w:t>
      </w:r>
    </w:p>
    <w:p>
      <w:r>
        <w:t>Дата проверки: 4 сентября 2026 года. Реестр отделяет доступ к произведению от разрешения использовать его конкретную цифровую версию. Исходный DR и каноническая строка не изменены.</w:t>
      </w:r>
    </w:p>
    <w:p>
      <w:r>
        <w:t>Как читать ссылки: [R012] означает T2-15-R012 на листе registry; в отчёте это также активная ссылка на источник доступа. Условия повторного использования и их доказательства находятся в колонках rights_scope, rights_evidence_url, tos_use и notes. Записи gaps обозначают недостающую проверку, а не отсутствие произведения.</w:t>
      </w:r>
    </w:p>
    <w:p>
      <w:pPr>
        <w:pStyle w:val="Heading1"/>
      </w:pPr>
      <w:r>
        <w:t>1. Паспорт</w:t>
      </w:r>
    </w:p>
    <w:p>
      <w:r>
        <w:t>Мастер-строка: T2-15, «Исламская философия права, этики и адаба», Таблица II. Исходный статус B, уверенность 4/5. Формирование VIII–XII вв.; письменная фиксация и передача IX–XV вв.; канонизация и комментарий XI–XV вв. Эти интервалы оставлены без изменения. Для корпусного поиска использован открытый контур вокруг средневекового ядра VIII–XV вв.</w:t>
      </w:r>
    </w:p>
    <w:p>
      <w:r>
        <w:t>Исходный документ: «ToS Deep Research_ T2-15 — Исламская философия права, этики и адаба(1).docx». Основание инвентаря — его разделы «Идентификация», «Корпуса, тексты и артефакты-якоря», «Входящие трансмиссии», «Исходящие handoff-связи» и «Первичные источники и корпуса». Предложения о графах, YAML и внутренних Sub-DR не выполнялись.</w:t>
      </w:r>
    </w:p>
    <w:p>
      <w:r>
        <w:t>Ядро определено как пересечение uṣūl al-fiqh, maṣlaḥa/maqāṣid, политико-юридической siyāsa, adab/andarz, зеркал государей и философской akhlāq. Это не реестр всего fiqh и не библиография исламской философии вообще. Отбирались произведения, издания, переводы, рукописи, цифровые транскрипции, факсимиле и корпусные сервисы.</w:t>
      </w:r>
    </w:p>
    <w:p>
      <w:r>
        <w:t>Поиск проводился на арабском, персидском, английском, русском и французском; турецкие названия использовались для османского продолжения. Для доступа приоритет получили официальные издатели и проекты, университетские и музейные коллекции, HathiTrust, исторические институциональные оцифровки, Hindawi/Safahat, OpenITI, Shamela и Ganjoor. Метаданные сверялись по каталогам и карточкам конкретных изданий, а права — по item-level уведомлениям, PDF, документации проекта и применимым условиям.</w:t>
      </w:r>
    </w:p>
    <w:p>
      <w:r>
        <w:t>Wikipedia не использована как основание итоговых метаданных или прав и не включена в ссылки файлов. Несколько кандидатов, обнаруженных по библиографическим отсылкам и поисковым указателям, оставлены в gaps до прямой проверки: прежде всего al-Ḥikma al-khālida / Vat. ar. 408 и параллельные Aḥkām Абу Яʿлы. Commons проверялся как отдельный файловый репозиторий, а не как энциклопедия.</w:t>
      </w:r>
      <w:r>
        <w:t xml:space="preserve">  </w:t>
      </w:r>
      <w:hyperlink r:id="rId11">
        <w:r>
          <w:rPr>
            <w:color w:val="175B95"/>
            <w:sz w:val="18"/>
          </w:rPr>
          <w:t>[R049]</w:t>
        </w:r>
      </w:hyperlink>
    </w:p>
    <w:p>
      <w:pPr>
        <w:pStyle w:val="Heading1"/>
      </w:pPr>
      <w:r>
        <w:t>2. Охват корпуса</w:t>
      </w:r>
    </w:p>
    <w:p>
      <w:pPr>
        <w:pStyle w:val="Heading2"/>
      </w:pPr>
      <w:r>
        <w:t>Что взято из DR и что добавлено</w:t>
      </w:r>
    </w:p>
    <w:p>
      <w:r>
        <w:t>Основные именованные якоря DR получили хотя бы один конкретный вход: al-Risāla; al-Burhān; al-Mustaṣfā; al-Adab al-kabīr; Tahdhīb al-akhlāq; al-Aḥkām al-sulṭāniyya и Tashīl al-naẓar; Qābūsnāma; Siyar al-mulūk / Siyāsatnāma; Akhlāq-i Nāṣirī; al-Siyāsa al-sharʿiyya; al-Muwāfaqāt. Этический корпус Газали раскрыт через Mīzān al-ʿamal, Iḥyāʾ и арабский Tibr. Для Naṣīḥat al-mulūk полная отдельная персидская версия остаётся пробелом; арабская передача не объявлена её полным эквивалентом.</w:t>
      </w:r>
      <w:r>
        <w:t xml:space="preserve">  </w:t>
      </w:r>
      <w:hyperlink r:id="rId12">
        <w:r>
          <w:rPr>
            <w:color w:val="175B95"/>
            <w:sz w:val="18"/>
          </w:rPr>
          <w:t>[R012]</w:t>
        </w:r>
      </w:hyperlink>
      <w:r>
        <w:t xml:space="preserve"> · </w:t>
      </w:r>
      <w:hyperlink r:id="rId13">
        <w:r>
          <w:rPr>
            <w:color w:val="175B95"/>
            <w:sz w:val="18"/>
          </w:rPr>
          <w:t>[R017]</w:t>
        </w:r>
      </w:hyperlink>
      <w:r>
        <w:t xml:space="preserve"> · </w:t>
      </w:r>
      <w:hyperlink r:id="rId14">
        <w:r>
          <w:rPr>
            <w:color w:val="175B95"/>
            <w:sz w:val="18"/>
          </w:rPr>
          <w:t>[R018]</w:t>
        </w:r>
      </w:hyperlink>
      <w:r>
        <w:t xml:space="preserve"> · </w:t>
      </w:r>
      <w:hyperlink r:id="rId15">
        <w:r>
          <w:rPr>
            <w:color w:val="175B95"/>
            <w:sz w:val="18"/>
          </w:rPr>
          <w:t>[R022]</w:t>
        </w:r>
      </w:hyperlink>
      <w:r>
        <w:t xml:space="preserve"> · </w:t>
      </w:r>
      <w:hyperlink r:id="rId16">
        <w:r>
          <w:rPr>
            <w:color w:val="175B95"/>
            <w:sz w:val="18"/>
          </w:rPr>
          <w:t>[R031]</w:t>
        </w:r>
      </w:hyperlink>
      <w:r>
        <w:t xml:space="preserve"> · </w:t>
      </w:r>
      <w:hyperlink r:id="rId17">
        <w:r>
          <w:rPr>
            <w:color w:val="175B95"/>
            <w:sz w:val="18"/>
          </w:rPr>
          <w:t>[R066]</w:t>
        </w:r>
      </w:hyperlink>
      <w:r>
        <w:t xml:space="preserve"> · </w:t>
      </w:r>
      <w:hyperlink r:id="rId18">
        <w:r>
          <w:rPr>
            <w:color w:val="175B95"/>
            <w:sz w:val="18"/>
          </w:rPr>
          <w:t>[R071]</w:t>
        </w:r>
      </w:hyperlink>
    </w:p>
    <w:p>
      <w:r>
        <w:t>Веб-поиск расширил uṣūl через al-Jaṣṣāṣ, Abū al-Ḥusayn al-Baṣrī, al-Sarakhsī, al-Bazdawī, al-Rāzī, al-Āmidī, Ibn Qudāma и Ibn Ḥazm. Ghiyāth al-umam и al-Waraqāt делают видимой внутреннюю широту корпуса ал-Джувайни. Qawāʿid al-aḥkām Ибн ʿАбд ас-Салама и al-Ṭuruq al-ḥukmiyya Ибн Каййима добавляют прямо связанные формы публично-благового и политико-правового рассуждения.</w:t>
      </w:r>
      <w:r>
        <w:t xml:space="preserve">  </w:t>
      </w:r>
      <w:hyperlink r:id="rId19">
        <w:r>
          <w:rPr>
            <w:color w:val="175B95"/>
            <w:sz w:val="18"/>
          </w:rPr>
          <w:t>[R013]</w:t>
        </w:r>
      </w:hyperlink>
      <w:r>
        <w:t xml:space="preserve"> · </w:t>
      </w:r>
      <w:hyperlink r:id="rId20">
        <w:r>
          <w:rPr>
            <w:color w:val="175B95"/>
            <w:sz w:val="18"/>
          </w:rPr>
          <w:t>[R014]</w:t>
        </w:r>
      </w:hyperlink>
      <w:r>
        <w:t xml:space="preserve"> · </w:t>
      </w:r>
      <w:hyperlink r:id="rId21">
        <w:r>
          <w:rPr>
            <w:color w:val="175B95"/>
            <w:sz w:val="18"/>
          </w:rPr>
          <w:t>[R016]</w:t>
        </w:r>
      </w:hyperlink>
      <w:r>
        <w:t xml:space="preserve"> · </w:t>
      </w:r>
      <w:hyperlink r:id="rId22">
        <w:r>
          <w:rPr>
            <w:color w:val="175B95"/>
            <w:sz w:val="18"/>
          </w:rPr>
          <w:t>[R035]</w:t>
        </w:r>
      </w:hyperlink>
      <w:r>
        <w:t xml:space="preserve"> · </w:t>
      </w:r>
      <w:hyperlink r:id="rId23">
        <w:r>
          <w:rPr>
            <w:color w:val="175B95"/>
            <w:sz w:val="18"/>
          </w:rPr>
          <w:t>[R036]</w:t>
        </w:r>
      </w:hyperlink>
      <w:r>
        <w:t xml:space="preserve"> · </w:t>
      </w:r>
      <w:hyperlink r:id="rId24">
        <w:r>
          <w:rPr>
            <w:color w:val="175B95"/>
            <w:sz w:val="18"/>
          </w:rPr>
          <w:t>[R037]</w:t>
        </w:r>
      </w:hyperlink>
      <w:r>
        <w:t xml:space="preserve"> · </w:t>
      </w:r>
      <w:hyperlink r:id="rId25">
        <w:r>
          <w:rPr>
            <w:color w:val="175B95"/>
            <w:sz w:val="18"/>
          </w:rPr>
          <w:t>[R038]</w:t>
        </w:r>
      </w:hyperlink>
      <w:r>
        <w:t xml:space="preserve"> · </w:t>
      </w:r>
      <w:hyperlink r:id="rId26">
        <w:r>
          <w:rPr>
            <w:color w:val="175B95"/>
            <w:sz w:val="18"/>
          </w:rPr>
          <w:t>[R041]</w:t>
        </w:r>
      </w:hyperlink>
      <w:r>
        <w:t xml:space="preserve"> · </w:t>
      </w:r>
      <w:hyperlink r:id="rId27">
        <w:r>
          <w:rPr>
            <w:color w:val="175B95"/>
            <w:sz w:val="18"/>
          </w:rPr>
          <w:t>[R042]</w:t>
        </w:r>
      </w:hyperlink>
      <w:r>
        <w:t xml:space="preserve"> · </w:t>
      </w:r>
      <w:hyperlink r:id="rId28">
        <w:r>
          <w:rPr>
            <w:color w:val="175B95"/>
            <w:sz w:val="18"/>
          </w:rPr>
          <w:t>[R051]</w:t>
        </w:r>
      </w:hyperlink>
      <w:r>
        <w:t xml:space="preserve"> · </w:t>
      </w:r>
      <w:hyperlink r:id="rId29">
        <w:r>
          <w:rPr>
            <w:color w:val="175B95"/>
            <w:sz w:val="18"/>
          </w:rPr>
          <w:t>[R070]</w:t>
        </w:r>
      </w:hyperlink>
      <w:r>
        <w:t xml:space="preserve"> · </w:t>
      </w:r>
      <w:hyperlink r:id="rId30">
        <w:r>
          <w:rPr>
            <w:color w:val="175B95"/>
            <w:sz w:val="18"/>
          </w:rPr>
          <w:t>[R072]</w:t>
        </w:r>
      </w:hyperlink>
    </w:p>
    <w:p>
      <w:r>
        <w:t>Несуннитская часть представлена не общей декларацией, а конкретными объектами: Ikhtilāf uṣūl al-madhāhib ал-Кади ан-Нуʿмана; al-Mujzī ал-Харуни; al-ʿUdda Абу Джаʿфара ат-Туси и зайдитский рукописный вход ZMT 02004. При этом Абу Джаʿфар ат-Туси не смешан с Насир ад-Дином Туси, а первый том al-ʿUdda не приравнен ко всему сочинению.</w:t>
      </w:r>
      <w:r>
        <w:t xml:space="preserve">  </w:t>
      </w:r>
      <w:hyperlink r:id="rId31">
        <w:r>
          <w:rPr>
            <w:color w:val="175B95"/>
            <w:sz w:val="18"/>
          </w:rPr>
          <w:t>[R044]</w:t>
        </w:r>
      </w:hyperlink>
      <w:r>
        <w:t xml:space="preserve"> · </w:t>
      </w:r>
      <w:hyperlink r:id="rId32">
        <w:r>
          <w:rPr>
            <w:color w:val="175B95"/>
            <w:sz w:val="18"/>
          </w:rPr>
          <w:t>[R054]</w:t>
        </w:r>
      </w:hyperlink>
      <w:r>
        <w:t xml:space="preserve"> · </w:t>
      </w:r>
      <w:hyperlink r:id="rId33">
        <w:r>
          <w:rPr>
            <w:color w:val="175B95"/>
            <w:sz w:val="18"/>
          </w:rPr>
          <w:t>[R055]</w:t>
        </w:r>
      </w:hyperlink>
      <w:r>
        <w:t xml:space="preserve"> · </w:t>
      </w:r>
      <w:hyperlink r:id="rId34">
        <w:r>
          <w:rPr>
            <w:color w:val="175B95"/>
            <w:sz w:val="18"/>
          </w:rPr>
          <w:t>[R056]</w:t>
        </w:r>
      </w:hyperlink>
    </w:p>
    <w:p>
      <w:pPr>
        <w:pStyle w:val="Heading2"/>
      </w:pPr>
      <w:r>
        <w:t>Более ранние источники и сохранённые слои</w:t>
      </w:r>
    </w:p>
    <w:p>
      <w:r>
        <w:t>Назад во времени поиск дал арабский текст Корана Tanzil как конкретный нормативный источник юридической теории и арабскую версию «Никомаховой этики» как доступ к входящей греко-арабской этической традиции. Последняя сохранена через защищённое современное издание: это не доказательство того, что именно сохранившаяся редакция была непосредственным экземпляром Мискавайха.</w:t>
      </w:r>
      <w:r>
        <w:t xml:space="preserve">  </w:t>
      </w:r>
      <w:hyperlink r:id="rId35">
        <w:r>
          <w:rPr>
            <w:color w:val="175B95"/>
            <w:sz w:val="18"/>
          </w:rPr>
          <w:t>[R043]</w:t>
        </w:r>
      </w:hyperlink>
      <w:r>
        <w:t xml:space="preserve"> · </w:t>
      </w:r>
      <w:hyperlink r:id="rId36">
        <w:r>
          <w:rPr>
            <w:color w:val="175B95"/>
            <w:sz w:val="18"/>
          </w:rPr>
          <w:t>[R067]</w:t>
        </w:r>
      </w:hyperlink>
    </w:p>
    <w:p>
      <w:r>
        <w:t>В Rasāʾil al-bulaghāʾ обнаружена арабская выборка ʿAhd Ardashīr, опубликованная Ахмадом Таймуром по поздней копии. Она включена как сохранённый наставительный слой, а не как найденный полный среднеперсидский оригинал или бесспорный автограф Ардашира. Тот же сборник даёт Risāla fī al-ṣaḥāba, ранние письма ʿАбд ал-Хамида и другие первичные формы адаба. Его внутренние части перечислены в notes, без размножения одного электронного сборника в десятки записей.</w:t>
      </w:r>
      <w:r>
        <w:t xml:space="preserve">  </w:t>
      </w:r>
      <w:hyperlink r:id="rId37">
        <w:r>
          <w:rPr>
            <w:color w:val="175B95"/>
            <w:sz w:val="18"/>
          </w:rPr>
          <w:t>[R060]</w:t>
        </w:r>
      </w:hyperlink>
    </w:p>
    <w:p>
      <w:r>
        <w:t>Калила и Димна добавлена по конкретной авторской и жанровой связи с Ибн ал-Мукаффаʿ и политическим адабом. Официальная AnonymClassic прослеживает индийско-персидско-сирийский вход и арабскую передачу. Отдельные версии Панчатантры и раннесирийского текста зафиксированы для дальнейшего поиска, но не объявлены уже полученным корпусом.</w:t>
      </w:r>
      <w:r>
        <w:t xml:space="preserve">  </w:t>
      </w:r>
      <w:hyperlink r:id="rId38">
        <w:r>
          <w:rPr>
            <w:color w:val="175B95"/>
            <w:sz w:val="18"/>
          </w:rPr>
          <w:t>[R045]</w:t>
        </w:r>
      </w:hyperlink>
      <w:r>
        <w:t xml:space="preserve"> · </w:t>
      </w:r>
      <w:hyperlink r:id="rId39">
        <w:r>
          <w:rPr>
            <w:color w:val="175B95"/>
            <w:sz w:val="18"/>
          </w:rPr>
          <w:t>[R076]</w:t>
        </w:r>
      </w:hyperlink>
    </w:p>
    <w:p>
      <w:pPr>
        <w:pStyle w:val="Heading2"/>
      </w:pPr>
      <w:r>
        <w:t>Продолжения, комментарии и новые языковые версии</w:t>
      </w:r>
    </w:p>
    <w:p>
      <w:r>
        <w:t>Персидская этическая линия расширена до Akhlāq-i Jalālī, Akhlāq-i Muḥsinī и османской Akhlāq-i ʿAlāʾī. Это продолжения той же наставительно-этической семьи, прямо обозначенной в DR, а не произвольные тексты поздней исламской культуры. Для Jalālī найден старый английский перевод; для Muḥsinī — только главы I–XV; для ʿAlāʾī — опубликованный раздел о справедливости. Могольская рукопись Nasiri AKM288 показывает позднюю передачу самого якорного произведения.</w:t>
      </w:r>
      <w:r>
        <w:t xml:space="preserve">  </w:t>
      </w:r>
      <w:hyperlink r:id="rId40">
        <w:r>
          <w:rPr>
            <w:color w:val="175B95"/>
            <w:sz w:val="18"/>
          </w:rPr>
          <w:t>[R047]</w:t>
        </w:r>
      </w:hyperlink>
      <w:r>
        <w:t xml:space="preserve"> · </w:t>
      </w:r>
      <w:hyperlink r:id="rId41">
        <w:r>
          <w:rPr>
            <w:color w:val="175B95"/>
            <w:sz w:val="18"/>
          </w:rPr>
          <w:t>[R048]</w:t>
        </w:r>
      </w:hyperlink>
      <w:r>
        <w:t xml:space="preserve"> · </w:t>
      </w:r>
      <w:hyperlink r:id="rId11">
        <w:r>
          <w:rPr>
            <w:color w:val="175B95"/>
            <w:sz w:val="18"/>
          </w:rPr>
          <w:t>[R049]</w:t>
        </w:r>
      </w:hyperlink>
      <w:r>
        <w:t xml:space="preserve"> · </w:t>
      </w:r>
      <w:hyperlink r:id="rId42">
        <w:r>
          <w:rPr>
            <w:color w:val="175B95"/>
            <w:sz w:val="18"/>
          </w:rPr>
          <w:t>[R028]</w:t>
        </w:r>
      </w:hyperlink>
    </w:p>
    <w:p>
      <w:r>
        <w:t>Комментарийная экология получила три конкретных комплекса: Tanqīḥ — Tawḍīḥ — Talwīḥ; Jamʿ al-jawāmiʿ — ал-Махалли — ал-Аттар; Musallam al-thubūt — Fawātiḥ al-raḥamūt в сборном издании с Mustasfa. Последний доступен в проверенной карточке только как часть комплекта. Современная Mudhakkira аш-Шинкити включена вследствие прямого комментирования Rawḍat al-nāẓir, а не как самостоятельная общая библиография современной теории права.</w:t>
      </w:r>
      <w:r>
        <w:t xml:space="preserve">  </w:t>
      </w:r>
      <w:hyperlink r:id="rId43">
        <w:r>
          <w:rPr>
            <w:color w:val="175B95"/>
            <w:sz w:val="18"/>
          </w:rPr>
          <w:t>[R050]</w:t>
        </w:r>
      </w:hyperlink>
      <w:r>
        <w:t xml:space="preserve"> · </w:t>
      </w:r>
      <w:hyperlink r:id="rId28">
        <w:r>
          <w:rPr>
            <w:color w:val="175B95"/>
            <w:sz w:val="18"/>
          </w:rPr>
          <w:t>[R051]</w:t>
        </w:r>
      </w:hyperlink>
      <w:r>
        <w:t xml:space="preserve"> · </w:t>
      </w:r>
      <w:hyperlink r:id="rId44">
        <w:r>
          <w:rPr>
            <w:color w:val="175B95"/>
            <w:sz w:val="18"/>
          </w:rPr>
          <w:t>[R052]</w:t>
        </w:r>
      </w:hyperlink>
      <w:r>
        <w:t xml:space="preserve"> · </w:t>
      </w:r>
      <w:hyperlink r:id="rId45">
        <w:r>
          <w:rPr>
            <w:color w:val="175B95"/>
            <w:sz w:val="18"/>
          </w:rPr>
          <w:t>[R053]</w:t>
        </w:r>
      </w:hyperlink>
      <w:r>
        <w:t xml:space="preserve"> · </w:t>
      </w:r>
      <w:hyperlink r:id="rId46">
        <w:r>
          <w:rPr>
            <w:color w:val="175B95"/>
            <w:sz w:val="18"/>
          </w:rPr>
          <w:t>[R073]</w:t>
        </w:r>
      </w:hyperlink>
    </w:p>
    <w:p>
      <w:r>
        <w:t>Арабская версия Nasiri, опубликованная Joep Lameer, и русская Qābūsnāma через татарскую переработку показывают передачу между языками. Современные издания этих текстов являются отдельными правовыми слоями. Дата перевода или копии не меняет дату и статус мастер-строки.</w:t>
      </w:r>
      <w:r>
        <w:t xml:space="preserve">  </w:t>
      </w:r>
      <w:hyperlink r:id="rId47">
        <w:r>
          <w:rPr>
            <w:color w:val="175B95"/>
            <w:sz w:val="18"/>
          </w:rPr>
          <w:t>[R059]</w:t>
        </w:r>
      </w:hyperlink>
      <w:r>
        <w:t xml:space="preserve"> · </w:t>
      </w:r>
      <w:hyperlink r:id="rId48">
        <w:r>
          <w:rPr>
            <w:color w:val="175B95"/>
            <w:sz w:val="18"/>
          </w:rPr>
          <w:t>[R068]</w:t>
        </w:r>
      </w:hyperlink>
    </w:p>
    <w:p>
      <w:pPr>
        <w:pStyle w:val="Heading2"/>
      </w:pPr>
      <w:r>
        <w:t>Количественный итог и границы подсчёта</w:t>
      </w:r>
    </w:p>
    <w:p>
      <w:r>
        <w:t>В registry — 77 записей. Из них 73 относятся к 47 именованным произведениям, сборникам или комментаторским комплексам после объединения переводов и репозиториев одного заглавия. В этом подсчёте две первичные антологии считаются каждая одним сборником, а три многоуровневых комментарийных издания — каждое одним комплексом. Это не утверждение, что в них всего 47 индивидуальных текстов. Ещё четыре записи — два инфраструктурных входа, один отдельно описанный зайдитский свидетель с неуточнённым заглавием и одна академическая навигационная глава.</w:t>
      </w:r>
    </w:p>
    <w:p>
      <w:r>
        <w:t>Распределение именно записей доступа: core — 27; same_corpus_or_tradition — 24; transmission_or_preservation — 10; boundary — 4; continuation — 3; commentary_or_reception — 3; antecedent — 2; infrastructure — 2; supporting — 1; secondary_navigation — 1. Ранний материал внутри Rasāʾil не посчитан второй раз как отдельный antecedent. Лист gaps содержит 24 предметных записи. Числа показывают устройство пакета, но не процент покрытия всей традиции.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al-Shāfiʿī: al-Risāla</w:t>
      </w:r>
    </w:p>
    <w:p>
      <w:r>
        <w:t>Лучший проверенный бесплатный научный вход на оригинальном языке — официальный Arabic-only PDF Library of Arabic Literature, 179 страниц. Его можно читать и получать с сайта проекта; внутри сохраняется © 2013 New York University, All rights reserved. Английский перевод Joseph E. Lowry представлен отдельной официальной издательской карточкой. Бесплатный арабский файл не означает бесплатного английского перевода и не даёт открытой лицензии на современную редакцию.</w:t>
      </w:r>
      <w:r>
        <w:t xml:space="preserve">  </w:t>
      </w:r>
      <w:hyperlink r:id="rId49">
        <w:r>
          <w:rPr>
            <w:color w:val="175B95"/>
            <w:sz w:val="18"/>
          </w:rPr>
          <w:t>[R002]</w:t>
        </w:r>
      </w:hyperlink>
      <w:r>
        <w:t xml:space="preserve"> · </w:t>
      </w:r>
      <w:hyperlink r:id="rId17">
        <w:r>
          <w:rPr>
            <w:color w:val="175B95"/>
            <w:sz w:val="18"/>
          </w:rPr>
          <w:t>[R066]</w:t>
        </w:r>
      </w:hyperlink>
    </w:p>
    <w:p>
      <w:r>
        <w:t>Для машинного текста найден конкретный файл OpenITI, основанный на современной редакции LAL. Старые ACO-издания 1895 и 1940 сохранены как резервные каталожные входы: в инструменте раскрылись не все компоненты просмотрщика. Они не используются как доказательство уже прочитанного полного факсимиле. Собственный перевод с современного LAL-текста требует проверки редакционного слоя; скан исторического основания необходимо открыть отдельно.</w:t>
      </w:r>
      <w:r>
        <w:t xml:space="preserve">  </w:t>
      </w:r>
      <w:hyperlink r:id="rId50">
        <w:r>
          <w:rPr>
            <w:color w:val="175B95"/>
            <w:sz w:val="18"/>
          </w:rPr>
          <w:t>[R003]</w:t>
        </w:r>
      </w:hyperlink>
      <w:r>
        <w:t xml:space="preserve"> · </w:t>
      </w:r>
      <w:hyperlink r:id="rId51">
        <w:r>
          <w:rPr>
            <w:color w:val="175B95"/>
            <w:sz w:val="18"/>
          </w:rPr>
          <w:t>[R004]</w:t>
        </w:r>
      </w:hyperlink>
      <w:r>
        <w:t xml:space="preserve"> · </w:t>
      </w:r>
      <w:hyperlink r:id="rId52">
        <w:r>
          <w:rPr>
            <w:color w:val="175B95"/>
            <w:sz w:val="18"/>
          </w:rPr>
          <w:t>[R011]</w:t>
        </w:r>
      </w:hyperlink>
    </w:p>
    <w:p>
      <w:pPr>
        <w:pStyle w:val="Heading2"/>
      </w:pPr>
      <w:r>
        <w:t>al-Juwaynī, al-Ghazālī и расширенный uṣūl</w:t>
      </w:r>
    </w:p>
    <w:p>
      <w:r>
        <w:t>Для al-Burhān, Ghiyāth al-umam, al-Waraqāt, al-Mustaṣfā и Mīzān al-ʿamal наиболее практичны item-level версии OpenITI: они дают оригинальный арабский, машинный формат и идентификатор источника. У Burhān установлен источник ʿAbd al-ʿAẓīm al-Dīb; у других версий сохранены доступные заголовочные метаданные. Это не единое критическое качество: файл и его редакторский аппарат требуют индивидуального аудита.</w:t>
      </w:r>
      <w:r>
        <w:t xml:space="preserve">  </w:t>
      </w:r>
      <w:hyperlink r:id="rId12">
        <w:r>
          <w:rPr>
            <w:color w:val="175B95"/>
            <w:sz w:val="18"/>
          </w:rPr>
          <w:t>[R012]</w:t>
        </w:r>
      </w:hyperlink>
      <w:r>
        <w:t xml:space="preserve"> · </w:t>
      </w:r>
      <w:hyperlink r:id="rId19">
        <w:r>
          <w:rPr>
            <w:color w:val="175B95"/>
            <w:sz w:val="18"/>
          </w:rPr>
          <w:t>[R013]</w:t>
        </w:r>
      </w:hyperlink>
      <w:r>
        <w:t xml:space="preserve"> · </w:t>
      </w:r>
      <w:hyperlink r:id="rId20">
        <w:r>
          <w:rPr>
            <w:color w:val="175B95"/>
            <w:sz w:val="18"/>
          </w:rPr>
          <w:t>[R014]</w:t>
        </w:r>
      </w:hyperlink>
      <w:r>
        <w:t xml:space="preserve"> · </w:t>
      </w:r>
      <w:hyperlink r:id="rId13">
        <w:r>
          <w:rPr>
            <w:color w:val="175B95"/>
            <w:sz w:val="18"/>
          </w:rPr>
          <w:t>[R017]</w:t>
        </w:r>
      </w:hyperlink>
      <w:r>
        <w:t xml:space="preserve"> · </w:t>
      </w:r>
      <w:hyperlink r:id="rId14">
        <w:r>
          <w:rPr>
            <w:color w:val="175B95"/>
            <w:sz w:val="18"/>
          </w:rPr>
          <w:t>[R018]</w:t>
        </w:r>
      </w:hyperlink>
    </w:p>
    <w:p>
      <w:r>
        <w:t>Для сравнительного чтения зрелой дисциплины удобнее конкретные страницы Shamela: al-Fuṣūl, al-Muʿtamad, al-Iḥkām ал-Амиди, al-Maḥṣūl, Uṣūl ал-Сарахси, Rawḍa и Talwīḥ. Проверены карточки, состав томов и образцы основного текста, но не проведена постраничная колляция. Ни одна современная редакция на Shamela не получила разрешение ToS на зеркалирование только на основании бесплатного чтения.</w:t>
      </w:r>
      <w:r>
        <w:t xml:space="preserve">  </w:t>
      </w:r>
      <w:hyperlink r:id="rId22">
        <w:r>
          <w:rPr>
            <w:color w:val="175B95"/>
            <w:sz w:val="18"/>
          </w:rPr>
          <w:t>[R035]</w:t>
        </w:r>
      </w:hyperlink>
      <w:r>
        <w:t xml:space="preserve"> · </w:t>
      </w:r>
      <w:hyperlink r:id="rId23">
        <w:r>
          <w:rPr>
            <w:color w:val="175B95"/>
            <w:sz w:val="18"/>
          </w:rPr>
          <w:t>[R036]</w:t>
        </w:r>
      </w:hyperlink>
      <w:r>
        <w:t xml:space="preserve"> · </w:t>
      </w:r>
      <w:hyperlink r:id="rId24">
        <w:r>
          <w:rPr>
            <w:color w:val="175B95"/>
            <w:sz w:val="18"/>
          </w:rPr>
          <w:t>[R037]</w:t>
        </w:r>
      </w:hyperlink>
      <w:r>
        <w:t xml:space="preserve"> · </w:t>
      </w:r>
      <w:hyperlink r:id="rId25">
        <w:r>
          <w:rPr>
            <w:color w:val="175B95"/>
            <w:sz w:val="18"/>
          </w:rPr>
          <w:t>[R038]</w:t>
        </w:r>
      </w:hyperlink>
      <w:r>
        <w:t xml:space="preserve"> · </w:t>
      </w:r>
      <w:hyperlink r:id="rId28">
        <w:r>
          <w:rPr>
            <w:color w:val="175B95"/>
            <w:sz w:val="18"/>
          </w:rPr>
          <w:t>[R051]</w:t>
        </w:r>
      </w:hyperlink>
      <w:r>
        <w:t xml:space="preserve"> · </w:t>
      </w:r>
      <w:hyperlink r:id="rId30">
        <w:r>
          <w:rPr>
            <w:color w:val="175B95"/>
            <w:sz w:val="18"/>
          </w:rPr>
          <w:t>[R072]</w:t>
        </w:r>
      </w:hyperlink>
      <w:r>
        <w:t xml:space="preserve"> · </w:t>
      </w:r>
      <w:hyperlink r:id="rId46">
        <w:r>
          <w:rPr>
            <w:color w:val="175B95"/>
            <w:sz w:val="18"/>
          </w:rPr>
          <w:t>[R073]</w:t>
        </w:r>
      </w:hyperlink>
    </w:p>
    <w:p>
      <w:r>
        <w:t>Islamic Law in Context сохранена как современная антология выбранных первичных разделов, доступная через preview и институциональный канал. Важное библиографическое различие: её материал по аналогии нельзя автоматически отождествлять с целым Mustasfa; в окружении главы фигурирует отдельный Asās al-qiyās. Для полного перевода каждого основного трактата антология недостаточна.</w:t>
      </w:r>
      <w:r>
        <w:t xml:space="preserve">  </w:t>
      </w:r>
      <w:hyperlink r:id="rId53">
        <w:r>
          <w:rPr>
            <w:color w:val="175B95"/>
            <w:sz w:val="18"/>
          </w:rPr>
          <w:t>[R064]</w:t>
        </w:r>
      </w:hyperlink>
    </w:p>
    <w:p>
      <w:pPr>
        <w:pStyle w:val="Heading2"/>
      </w:pPr>
      <w:r>
        <w:t>Мискавайх: Tahdhīb и диалог с ат-Тавхиди</w:t>
      </w:r>
    </w:p>
    <w:p>
      <w:r>
        <w:t>Для Tahdhīb лучший свободный читаемый слой — основной арабский текст Hindawi/Safahat, где издатель прямо заявляет public domain. Есть HTML и ссылки на электронные форматы. Историческое издание 1911 в ACO — отдельный факсимильный вход. Английский перевод Constantine Zurayk, The Refinement of Character, AUB 1968, найден в HathiTrust как библиографический/поисковый доступ, не как подтверждённая свободная загрузка.</w:t>
      </w:r>
      <w:r>
        <w:t xml:space="preserve">  </w:t>
      </w:r>
      <w:hyperlink r:id="rId54">
        <w:r>
          <w:rPr>
            <w:color w:val="175B95"/>
            <w:sz w:val="18"/>
          </w:rPr>
          <w:t>[R005]</w:t>
        </w:r>
      </w:hyperlink>
      <w:r>
        <w:t xml:space="preserve"> · </w:t>
      </w:r>
      <w:hyperlink r:id="rId55">
        <w:r>
          <w:rPr>
            <w:color w:val="175B95"/>
            <w:sz w:val="18"/>
          </w:rPr>
          <w:t>[R029]</w:t>
        </w:r>
      </w:hyperlink>
      <w:r>
        <w:t xml:space="preserve"> · </w:t>
      </w:r>
      <w:hyperlink r:id="rId56">
        <w:r>
          <w:rPr>
            <w:color w:val="175B95"/>
            <w:sz w:val="18"/>
          </w:rPr>
          <w:t>[R046]</w:t>
        </w:r>
      </w:hyperlink>
    </w:p>
    <w:p>
      <w:r>
        <w:t>Al-Hawāmil wa-l-shawāmil расширяет корпус за пределы одного учебника добродетелей: это вопросы ат-Тавхиди и ответы Мискавайха, опубликованные Hindawi с заявлением PD основного текста. Для собственного перевода ToS этот арабский слой существенно чище защищённого английского посредника. Современное оформление и обложка не включены в такое разрешение.</w:t>
      </w:r>
      <w:r>
        <w:t xml:space="preserve">  </w:t>
      </w:r>
      <w:hyperlink r:id="rId57">
        <w:r>
          <w:rPr>
            <w:color w:val="175B95"/>
            <w:sz w:val="18"/>
          </w:rPr>
          <w:t>[R030]</w:t>
        </w:r>
      </w:hyperlink>
    </w:p>
    <w:p>
      <w:pPr>
        <w:pStyle w:val="Heading2"/>
      </w:pPr>
      <w:r>
        <w:t>Ал-Маварди: право, управление и адаб</w:t>
      </w:r>
    </w:p>
    <w:p>
      <w:r>
        <w:t>Al-Aḥkām al-sulṭāniyya представлен старыми ACO-изданиями 1880/81 и 1909 и официальной продажей английского перевода Wafaa H. Wahba у Garnet. Старые сканы полезны для оригинала и независимого перевода исторического текста; современный английский вариант — для научного знакомства, но не для перепубликации. Конкретные права цифрового факсимиле по-прежнему требуют проверки.</w:t>
      </w:r>
      <w:r>
        <w:t xml:space="preserve">  </w:t>
      </w:r>
      <w:hyperlink r:id="rId58">
        <w:r>
          <w:rPr>
            <w:color w:val="175B95"/>
            <w:sz w:val="18"/>
          </w:rPr>
          <w:t>[R007]</w:t>
        </w:r>
      </w:hyperlink>
      <w:r>
        <w:t xml:space="preserve"> · </w:t>
      </w:r>
      <w:hyperlink r:id="rId59">
        <w:r>
          <w:rPr>
            <w:color w:val="175B95"/>
            <w:sz w:val="18"/>
          </w:rPr>
          <w:t>[R008]</w:t>
        </w:r>
      </w:hyperlink>
      <w:r>
        <w:t xml:space="preserve"> · </w:t>
      </w:r>
      <w:hyperlink r:id="rId60">
        <w:r>
          <w:rPr>
            <w:color w:val="175B95"/>
            <w:sz w:val="18"/>
          </w:rPr>
          <w:t>[R062]</w:t>
        </w:r>
      </w:hyperlink>
    </w:p>
    <w:p>
      <w:r>
        <w:t>Tashīl al-naẓar доступен бесплатно по-арабски в Shamela, издание Sarḥān / al-Sāʿātī 1981. Современный французский перевод Makram Abbès опубликован Les Belles Lettres. Adab al-dunyā wa-l-dīn добавлен как самостоятельный читаемый текст того же автора, раскрывающий этический слой. Псевдо-Маварди Naṣīḥat al-mulūk вынесен в gaps: его нельзя сливать с этими произведениями.</w:t>
      </w:r>
      <w:r>
        <w:t xml:space="preserve">  </w:t>
      </w:r>
      <w:hyperlink r:id="rId15">
        <w:r>
          <w:rPr>
            <w:color w:val="175B95"/>
            <w:sz w:val="18"/>
          </w:rPr>
          <w:t>[R022]</w:t>
        </w:r>
      </w:hyperlink>
      <w:r>
        <w:t xml:space="preserve"> · </w:t>
      </w:r>
      <w:hyperlink r:id="rId61">
        <w:r>
          <w:rPr>
            <w:color w:val="175B95"/>
            <w:sz w:val="18"/>
          </w:rPr>
          <w:t>[R039]</w:t>
        </w:r>
      </w:hyperlink>
      <w:r>
        <w:t xml:space="preserve"> · </w:t>
      </w:r>
      <w:hyperlink r:id="rId62">
        <w:r>
          <w:rPr>
            <w:color w:val="175B95"/>
            <w:sz w:val="18"/>
          </w:rPr>
          <w:t>[R040]</w:t>
        </w:r>
      </w:hyperlink>
    </w:p>
    <w:p>
      <w:pPr>
        <w:pStyle w:val="Heading2"/>
      </w:pPr>
      <w:r>
        <w:t>Ибн ал-Мукаффаʿ, ранний адаб и Калила</w:t>
      </w:r>
    </w:p>
    <w:p>
      <w:r>
        <w:t>Al-Adab al-kabīr и сборник Rasāʾil al-bulaghāʾ дают наиболее удобные арабские HTML-входы с явным PD-заявлением издателя. В последнем доступны ранние письма, наставления и выборка Ардашира. Атрибуция al-Adab al-ṣaghīr оставлена осторожной. Загрузка файлов может сопровождаться приглашением к бесплатной регистрации; аккаунт не создавался.</w:t>
      </w:r>
      <w:r>
        <w:t xml:space="preserve">  </w:t>
      </w:r>
      <w:hyperlink r:id="rId63">
        <w:r>
          <w:rPr>
            <w:color w:val="175B95"/>
            <w:sz w:val="18"/>
          </w:rPr>
          <w:t>[R006]</w:t>
        </w:r>
      </w:hyperlink>
      <w:r>
        <w:t xml:space="preserve"> · </w:t>
      </w:r>
      <w:hyperlink r:id="rId37">
        <w:r>
          <w:rPr>
            <w:color w:val="175B95"/>
            <w:sz w:val="18"/>
          </w:rPr>
          <w:t>[R060]</w:t>
        </w:r>
      </w:hyperlink>
    </w:p>
    <w:p>
      <w:r>
        <w:t>С Kalīla wa-Dimna ситуация другая: издание Hindawi с редакторским участием ʿAzzām / Ṭāhā Ḥusayn опубликовано по разрешению, а не обозначено тем же PD-слоем. Научно наиболее полезный новый вход — синоптическая редакция AnonymClassic с транскрипциями и факсимиле отдельных глав. Её собранный рукописный материал шире реально опубликованной части. Для Pococke 400 сохранена самостоятельная библиотечная карточка, но изображения в инструменте не отобразились.</w:t>
      </w:r>
      <w:r>
        <w:t xml:space="preserve">  </w:t>
      </w:r>
      <w:hyperlink r:id="rId38">
        <w:r>
          <w:rPr>
            <w:color w:val="175B95"/>
            <w:sz w:val="18"/>
          </w:rPr>
          <w:t>[R045]</w:t>
        </w:r>
      </w:hyperlink>
      <w:r>
        <w:t xml:space="preserve"> · </w:t>
      </w:r>
      <w:hyperlink r:id="rId39">
        <w:r>
          <w:rPr>
            <w:color w:val="175B95"/>
            <w:sz w:val="18"/>
          </w:rPr>
          <w:t>[R076]</w:t>
        </w:r>
      </w:hyperlink>
      <w:r>
        <w:t xml:space="preserve"> · </w:t>
      </w:r>
      <w:hyperlink r:id="rId64">
        <w:r>
          <w:rPr>
            <w:color w:val="175B95"/>
            <w:sz w:val="18"/>
          </w:rPr>
          <w:t>[R077]</w:t>
        </w:r>
      </w:hyperlink>
    </w:p>
    <w:p>
      <w:pPr>
        <w:pStyle w:val="Heading2"/>
      </w:pPr>
      <w:r>
        <w:t>Qābūsnāma и Siyāsatnāma</w:t>
      </w:r>
    </w:p>
    <w:p>
      <w:r>
        <w:t>Qābūsnāma бесплатно читается на персидском в Ganjoor: представлены 44 главы. Это лучший практический вход для чтения оригинала среди проверенных здесь вариантов, но не основание для свободного копирования: FAQ проекта предупреждает о неочищенных правах на часть исходных редакций. Русский музейный репринт через татарскую версию содержит 42 главы и не заменяет полный персидский текст. На музейной странице есть противоречие дат старого издания, сохранённое в notes.</w:t>
      </w:r>
      <w:r>
        <w:t xml:space="preserve">  </w:t>
      </w:r>
      <w:hyperlink r:id="rId65">
        <w:r>
          <w:rPr>
            <w:color w:val="175B95"/>
            <w:sz w:val="18"/>
          </w:rPr>
          <w:t>[R009]</w:t>
        </w:r>
      </w:hyperlink>
      <w:r>
        <w:t xml:space="preserve"> · </w:t>
      </w:r>
      <w:hyperlink r:id="rId47">
        <w:r>
          <w:rPr>
            <w:color w:val="175B95"/>
            <w:sz w:val="18"/>
          </w:rPr>
          <w:t>[R059]</w:t>
        </w:r>
      </w:hyperlink>
    </w:p>
    <w:p>
      <w:r>
        <w:t>Для Siyāsatnāma найдены два разных исторических слоя Schefer: персидский текст 1891 и французский перевод 1893. HathiTrust показывает Full view, но сам просмотрщик вернул 403; сохранены конкретные томовые идентификаторы. Русский перевод Б. Н. Заходера 1949 имеет проверенный каталожный вход, без подтверждённой свободной раздачи. Современный Hubert Darke нужен для научной работы, однако официальный издательский вход в этом запуске не удалось раскрыть, и он оставлен в gaps.</w:t>
      </w:r>
      <w:r>
        <w:t xml:space="preserve">  </w:t>
      </w:r>
      <w:hyperlink r:id="rId66">
        <w:r>
          <w:rPr>
            <w:color w:val="175B95"/>
            <w:sz w:val="18"/>
          </w:rPr>
          <w:t>[R023]</w:t>
        </w:r>
      </w:hyperlink>
      <w:r>
        <w:t xml:space="preserve"> · </w:t>
      </w:r>
      <w:hyperlink r:id="rId66">
        <w:r>
          <w:rPr>
            <w:color w:val="175B95"/>
            <w:sz w:val="18"/>
          </w:rPr>
          <w:t>[R024]</w:t>
        </w:r>
      </w:hyperlink>
      <w:r>
        <w:t xml:space="preserve"> · </w:t>
      </w:r>
      <w:hyperlink r:id="rId67">
        <w:r>
          <w:rPr>
            <w:color w:val="175B95"/>
            <w:sz w:val="18"/>
          </w:rPr>
          <w:t>[R058]</w:t>
        </w:r>
      </w:hyperlink>
    </w:p>
    <w:p>
      <w:pPr>
        <w:pStyle w:val="Heading2"/>
      </w:pPr>
      <w:r>
        <w:t>Nasiri и поздняя akhlāq</w:t>
      </w:r>
    </w:p>
    <w:p>
      <w:r>
        <w:t>Для Akhlāq-i Nāṣirī сочетаются три разных преимущества: Ganjoor — удобное полное персидское чтение; историческая оцифровка издания 1878 с институциональным происхождением — факсимильная основа; Wickens, The Nasirean Ethics, 1964 — современный английский библиографический/preview-вход. Ни перевод Wickens, ни критическая арабская версия Lameer не объявлены свободными. Арабская версия особенно важна как непосредственная переводная передача персидского трактата.</w:t>
      </w:r>
      <w:r>
        <w:t xml:space="preserve">  </w:t>
      </w:r>
      <w:hyperlink r:id="rId68">
        <w:r>
          <w:rPr>
            <w:color w:val="175B95"/>
            <w:sz w:val="18"/>
          </w:rPr>
          <w:t>[R010]</w:t>
        </w:r>
      </w:hyperlink>
      <w:r>
        <w:t xml:space="preserve"> · </w:t>
      </w:r>
      <w:hyperlink r:id="rId69">
        <w:r>
          <w:rPr>
            <w:color w:val="175B95"/>
            <w:sz w:val="18"/>
          </w:rPr>
          <w:t>[R021]</w:t>
        </w:r>
      </w:hyperlink>
      <w:r>
        <w:t xml:space="preserve"> · </w:t>
      </w:r>
      <w:hyperlink r:id="rId70">
        <w:r>
          <w:rPr>
            <w:color w:val="175B95"/>
            <w:sz w:val="18"/>
          </w:rPr>
          <w:t>[R027]</w:t>
        </w:r>
      </w:hyperlink>
      <w:r>
        <w:t xml:space="preserve"> · </w:t>
      </w:r>
      <w:hyperlink r:id="rId48">
        <w:r>
          <w:rPr>
            <w:color w:val="175B95"/>
            <w:sz w:val="18"/>
          </w:rPr>
          <w:t>[R068]</w:t>
        </w:r>
      </w:hyperlink>
    </w:p>
    <w:p>
      <w:r>
        <w:t>AKM288 в Aga Khan Museum полезна для изучения могольской рецепции и лицензированных изображений, но карточка показывает избранные миниатюры и виды, а не весь кодекс для сплошного перевода. Старый английский Jalālī Thompson 1839 доступен через Full view HathiTrust с оговоркой о неоткрывшемся просмотрщике. Muḥsinī Keene 1867 на Commons имеет ясное item-level PD-обозначение, однако охватывает только главы I–XV и содержит сознательный переводческий пропуск.</w:t>
      </w:r>
      <w:r>
        <w:t xml:space="preserve">  </w:t>
      </w:r>
      <w:hyperlink r:id="rId42">
        <w:r>
          <w:rPr>
            <w:color w:val="175B95"/>
            <w:sz w:val="18"/>
          </w:rPr>
          <w:t>[R028]</w:t>
        </w:r>
      </w:hyperlink>
      <w:r>
        <w:t xml:space="preserve"> · </w:t>
      </w:r>
      <w:hyperlink r:id="rId40">
        <w:r>
          <w:rPr>
            <w:color w:val="175B95"/>
            <w:sz w:val="18"/>
          </w:rPr>
          <w:t>[R047]</w:t>
        </w:r>
      </w:hyperlink>
      <w:r>
        <w:t xml:space="preserve"> · </w:t>
      </w:r>
      <w:hyperlink r:id="rId11">
        <w:r>
          <w:rPr>
            <w:color w:val="175B95"/>
            <w:sz w:val="18"/>
          </w:rPr>
          <w:t>[R049]</w:t>
        </w:r>
      </w:hyperlink>
    </w:p>
    <w:p>
      <w:pPr>
        <w:pStyle w:val="Heading2"/>
      </w:pPr>
      <w:r>
        <w:t>Газали: этика и наставление правителю</w:t>
      </w:r>
    </w:p>
    <w:p>
      <w:r>
        <w:t>Полный арабский Iḥyāʾ доступен в Shamela; у OpenITI сохранён также каталог машинной версии, но в этой проверке сам файл полностью не раскрыт. Для наиболее близких к T2-15 книг XXII–XXIII найден современный английский перевод T. J. Winter через университетский книжный магазин. Это две книги из Ihya, а не перевод всего корпуса. Для Tibr проверено арабское издание 1988; спорные атрибуционные слои не сглажены.</w:t>
      </w:r>
      <w:r>
        <w:t xml:space="preserve">  </w:t>
      </w:r>
      <w:hyperlink r:id="rId71">
        <w:r>
          <w:rPr>
            <w:color w:val="175B95"/>
            <w:sz w:val="18"/>
          </w:rPr>
          <w:t>[R019]</w:t>
        </w:r>
      </w:hyperlink>
      <w:r>
        <w:t xml:space="preserve"> · </w:t>
      </w:r>
      <w:hyperlink r:id="rId72">
        <w:r>
          <w:rPr>
            <w:color w:val="175B95"/>
            <w:sz w:val="18"/>
          </w:rPr>
          <w:t>[R061]</w:t>
        </w:r>
      </w:hyperlink>
      <w:r>
        <w:t xml:space="preserve"> · </w:t>
      </w:r>
      <w:hyperlink r:id="rId73">
        <w:r>
          <w:rPr>
            <w:color w:val="175B95"/>
            <w:sz w:val="18"/>
          </w:rPr>
          <w:t>[R063]</w:t>
        </w:r>
      </w:hyperlink>
      <w:r>
        <w:t xml:space="preserve"> · </w:t>
      </w:r>
      <w:hyperlink r:id="rId18">
        <w:r>
          <w:rPr>
            <w:color w:val="175B95"/>
            <w:sz w:val="18"/>
          </w:rPr>
          <w:t>[R071]</w:t>
        </w:r>
      </w:hyperlink>
    </w:p>
    <w:p>
      <w:pPr>
        <w:pStyle w:val="Heading2"/>
      </w:pPr>
      <w:r>
        <w:t>Siyāsa sharʿiyya и maqāṣid</w:t>
      </w:r>
    </w:p>
    <w:p>
      <w:r>
        <w:t>Для al-Siyāsa al-sharʿiyya Ибн Таймийи предпочтителен текст современной критической редакции 2019 в Shamela: карточка прямо сообщает о предоставлении материала издателем. Ранее печатавшаяся министерская версия сохранена отдельно и не объявлена равной по полноте. Al-Ṭuruq al-ḥukmiyya Ибн Каййима также имеет издательский путь. Разрешение издателя для Shamela не означает разрешения для ToS.</w:t>
      </w:r>
      <w:r>
        <w:t xml:space="preserve">  </w:t>
      </w:r>
      <w:hyperlink r:id="rId74">
        <w:r>
          <w:rPr>
            <w:color w:val="175B95"/>
            <w:sz w:val="18"/>
          </w:rPr>
          <w:t>[R032]</w:t>
        </w:r>
      </w:hyperlink>
      <w:r>
        <w:t xml:space="preserve"> · </w:t>
      </w:r>
      <w:hyperlink r:id="rId75">
        <w:r>
          <w:rPr>
            <w:color w:val="175B95"/>
            <w:sz w:val="18"/>
          </w:rPr>
          <w:t>[R033]</w:t>
        </w:r>
      </w:hyperlink>
      <w:r>
        <w:t xml:space="preserve"> · </w:t>
      </w:r>
      <w:hyperlink r:id="rId26">
        <w:r>
          <w:rPr>
            <w:color w:val="175B95"/>
            <w:sz w:val="18"/>
          </w:rPr>
          <w:t>[R041]</w:t>
        </w:r>
      </w:hyperlink>
    </w:p>
    <w:p>
      <w:r>
        <w:t>Al-Ḥisba имеет английский перевод Muhtar Holland: издательская страница сообщает об отсутствии в продаже, а Open Library предлагает библиотечный канал с ограниченным чтением. Выдача не выполнялась, доступ после входа не тестировался. Современный скан с пользовательской загрузкой не был принят за свободный файл.</w:t>
      </w:r>
      <w:r>
        <w:t xml:space="preserve">  </w:t>
      </w:r>
      <w:hyperlink r:id="rId76">
        <w:r>
          <w:rPr>
            <w:color w:val="175B95"/>
            <w:sz w:val="18"/>
          </w:rPr>
          <w:t>[R025]</w:t>
        </w:r>
      </w:hyperlink>
      <w:r>
        <w:t xml:space="preserve"> · </w:t>
      </w:r>
      <w:hyperlink r:id="rId77">
        <w:r>
          <w:rPr>
            <w:color w:val="175B95"/>
            <w:sz w:val="18"/>
          </w:rPr>
          <w:t>[R026]</w:t>
        </w:r>
      </w:hyperlink>
    </w:p>
    <w:p>
      <w:r>
        <w:t>Al-Muwāfaqāt бесплатно читается по-арабски в семичастном издании Shamela. У Garnet проверены две отдельные продаваемые книги английского перевода: том 1 охватывает части 1–2, том 2 — часть 3 о целях закона. Оставшиеся части о доказательствах и ijtihād не считаются переведёнными этим комплектом. Для маṣlaḥa дополнительно сохранены Qawāʿid al-aḥkām, но их карточка содержит несогласованные даты, которые не исправлялись догадкой.</w:t>
      </w:r>
      <w:r>
        <w:t xml:space="preserve">  </w:t>
      </w:r>
      <w:hyperlink r:id="rId16">
        <w:r>
          <w:rPr>
            <w:color w:val="175B95"/>
            <w:sz w:val="18"/>
          </w:rPr>
          <w:t>[R031]</w:t>
        </w:r>
      </w:hyperlink>
      <w:r>
        <w:t xml:space="preserve"> · </w:t>
      </w:r>
      <w:hyperlink r:id="rId27">
        <w:r>
          <w:rPr>
            <w:color w:val="175B95"/>
            <w:sz w:val="18"/>
          </w:rPr>
          <w:t>[R042]</w:t>
        </w:r>
      </w:hyperlink>
      <w:r>
        <w:t xml:space="preserve"> · </w:t>
      </w:r>
      <w:hyperlink r:id="rId78">
        <w:r>
          <w:rPr>
            <w:color w:val="175B95"/>
            <w:sz w:val="18"/>
          </w:rPr>
          <w:t>[R074]</w:t>
        </w:r>
      </w:hyperlink>
      <w:r>
        <w:t xml:space="preserve"> · </w:t>
      </w:r>
      <w:hyperlink r:id="rId79">
        <w:r>
          <w:rPr>
            <w:color w:val="175B95"/>
            <w:sz w:val="18"/>
          </w:rPr>
          <w:t>[R075]</w:t>
        </w:r>
      </w:hyperlink>
    </w:p>
    <w:p>
      <w:pPr>
        <w:pStyle w:val="Heading2"/>
      </w:pPr>
      <w:r>
        <w:t>Несуннитские корпуса и рукописи</w:t>
      </w:r>
    </w:p>
    <w:p>
      <w:r>
        <w:t>Disagreements of the Jurists / Ikhtilāf uṣūl al-madhāhib в LAL — защищённое современное арабо-английское издание Devin J. Stewart. Al-Mujzī имеет четыре PDF-входа на специализированном зайдитском ресурсе; просмотрен первый, остальные сохранены как ссылки комплекта. Al-ʿUdda — проверенный вход к первому тому. HMML/ZMT дополняет их рукописной инфраструктурой и конкретным ZMT 02004; обязательная регистрация не была обойдена.</w:t>
      </w:r>
      <w:r>
        <w:t xml:space="preserve">  </w:t>
      </w:r>
      <w:hyperlink r:id="rId31">
        <w:r>
          <w:rPr>
            <w:color w:val="175B95"/>
            <w:sz w:val="18"/>
          </w:rPr>
          <w:t>[R044]</w:t>
        </w:r>
      </w:hyperlink>
      <w:r>
        <w:t xml:space="preserve"> · </w:t>
      </w:r>
      <w:hyperlink r:id="rId32">
        <w:r>
          <w:rPr>
            <w:color w:val="175B95"/>
            <w:sz w:val="18"/>
          </w:rPr>
          <w:t>[R054]</w:t>
        </w:r>
      </w:hyperlink>
      <w:r>
        <w:t xml:space="preserve"> · </w:t>
      </w:r>
      <w:hyperlink r:id="rId33">
        <w:r>
          <w:rPr>
            <w:color w:val="175B95"/>
            <w:sz w:val="18"/>
          </w:rPr>
          <w:t>[R055]</w:t>
        </w:r>
      </w:hyperlink>
      <w:r>
        <w:t xml:space="preserve"> · </w:t>
      </w:r>
      <w:hyperlink r:id="rId34">
        <w:r>
          <w:rPr>
            <w:color w:val="175B95"/>
            <w:sz w:val="18"/>
          </w:rPr>
          <w:t>[R056]</w:t>
        </w:r>
      </w:hyperlink>
      <w:r>
        <w:t xml:space="preserve"> · </w:t>
      </w:r>
      <w:hyperlink r:id="rId80">
        <w:r>
          <w:rPr>
            <w:color w:val="175B95"/>
            <w:sz w:val="18"/>
          </w:rPr>
          <w:t>[R057]</w:t>
        </w:r>
      </w:hyperlink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Наиболее свободный слой</w:t>
      </w:r>
    </w:p>
    <w:p>
      <w:r>
        <w:t>Прямое основание для чтения, собственного перевода и текстовой обработки дают PD-заявления Hindawi/Safahat для al-Adab al-kabīr, Tahdhīb, al-Hawāmil и основного текста Rasāʾil. Положительные теги ограничены этим арабским текстом: они не включают обложки, современный дизайн, заимствованные иллюстрации или самостоятельную научную реконструкцию. В реестре не выдано автоматическое разрешение зеркалировать соответствующие PDF целиком.</w:t>
      </w:r>
      <w:r>
        <w:t xml:space="preserve">  </w:t>
      </w:r>
      <w:hyperlink r:id="rId63">
        <w:r>
          <w:rPr>
            <w:color w:val="175B95"/>
            <w:sz w:val="18"/>
          </w:rPr>
          <w:t>[R006]</w:t>
        </w:r>
      </w:hyperlink>
      <w:r>
        <w:t xml:space="preserve"> · </w:t>
      </w:r>
      <w:hyperlink r:id="rId55">
        <w:r>
          <w:rPr>
            <w:color w:val="175B95"/>
            <w:sz w:val="18"/>
          </w:rPr>
          <w:t>[R029]</w:t>
        </w:r>
      </w:hyperlink>
      <w:r>
        <w:t xml:space="preserve"> · </w:t>
      </w:r>
      <w:hyperlink r:id="rId57">
        <w:r>
          <w:rPr>
            <w:color w:val="175B95"/>
            <w:sz w:val="18"/>
          </w:rPr>
          <w:t>[R030]</w:t>
        </w:r>
      </w:hyperlink>
      <w:r>
        <w:t xml:space="preserve"> · </w:t>
      </w:r>
      <w:hyperlink r:id="rId37">
        <w:r>
          <w:rPr>
            <w:color w:val="175B95"/>
            <w:sz w:val="18"/>
          </w:rPr>
          <w:t>[R060]</w:t>
        </w:r>
      </w:hyperlink>
    </w:p>
    <w:p>
      <w:r>
        <w:t>Самый определённый кандидат на зеркалирование исторического переводного файла — конкретный Muḥsinī Keene на Commons: файл имеет Public Domain Mark 1.0 и PD-old/US-обозначения. Это маркер статуса, не лицензия. MIRROR_OK, OCR_OK, FULLTEXT_INDEX_OK и EMBEDDINGS_OK относятся только к данному старому английскому переводу глав I–XV и скану в описанной юрисдикционной области. Они не покрывают персидский оригинал, прочие главы или новые переводы.</w:t>
      </w:r>
      <w:r>
        <w:t xml:space="preserve">  </w:t>
      </w:r>
      <w:hyperlink r:id="rId11">
        <w:r>
          <w:rPr>
            <w:color w:val="175B95"/>
            <w:sz w:val="18"/>
          </w:rPr>
          <w:t>[R049]</w:t>
        </w:r>
      </w:hyperlink>
    </w:p>
    <w:p>
      <w:pPr>
        <w:pStyle w:val="Heading2"/>
      </w:pPr>
      <w:r>
        <w:t>Некоммерческое использование с условиями</w:t>
      </w:r>
    </w:p>
    <w:p>
      <w:r>
        <w:t>OpenITI применяет CC BY-NC-SA 4.0, но официальная документация требует учитывать права сторонних материалов. Поэтому MIRROR_NONCOMMERCIAL и SHAREALIKE_REQUIRED ограничены собственным проектным слоем — разметкой, метаданными и теми компонентами, на которые разрешение действительно распространяется. У каждого исходного печатного издания отдельно проверяются аппарат, предисловие и редакторские дополнения. До этого весь raw-файл не должен автоматически попадать в публичное зеркало.</w:t>
      </w:r>
      <w:r>
        <w:t xml:space="preserve">  </w:t>
      </w:r>
      <w:hyperlink r:id="rId81">
        <w:r>
          <w:rPr>
            <w:color w:val="175B95"/>
            <w:sz w:val="18"/>
          </w:rPr>
          <w:t>[R001]</w:t>
        </w:r>
      </w:hyperlink>
      <w:r>
        <w:t xml:space="preserve"> · </w:t>
      </w:r>
      <w:hyperlink r:id="rId52">
        <w:r>
          <w:rPr>
            <w:color w:val="175B95"/>
            <w:sz w:val="18"/>
          </w:rPr>
          <w:t>[R011]</w:t>
        </w:r>
      </w:hyperlink>
      <w:r>
        <w:t xml:space="preserve"> · </w:t>
      </w:r>
      <w:hyperlink r:id="rId12">
        <w:r>
          <w:rPr>
            <w:color w:val="175B95"/>
            <w:sz w:val="18"/>
          </w:rPr>
          <w:t>[R012]</w:t>
        </w:r>
      </w:hyperlink>
      <w:r>
        <w:t xml:space="preserve"> · </w:t>
      </w:r>
      <w:hyperlink r:id="rId13">
        <w:r>
          <w:rPr>
            <w:color w:val="175B95"/>
            <w:sz w:val="18"/>
          </w:rPr>
          <w:t>[R017]</w:t>
        </w:r>
      </w:hyperlink>
      <w:r>
        <w:t xml:space="preserve">  </w:t>
      </w:r>
      <w:hyperlink r:id="rId82">
        <w:r>
          <w:rPr>
            <w:color w:val="175B95"/>
            <w:sz w:val="18"/>
          </w:rPr>
          <w:t>Официальная область лицензии OpenITI</w:t>
        </w:r>
      </w:hyperlink>
    </w:p>
    <w:p>
      <w:r>
        <w:t>Музейные изображения AKM288 допускают некоммерческое использование с атрибуцией по ссылке CC BY-NC 4.0. Однако формулировка музейной метки «CA» и дополнительный репутационный пункт требуют ручного прочтения политики. Положительные теги ограничены изображениями, опубликованными для этого объекта. Современное кураторское эссе и весь невыданный постраничный кодекс в scope не включены.</w:t>
      </w:r>
      <w:r>
        <w:t xml:space="preserve">  </w:t>
      </w:r>
      <w:hyperlink r:id="rId42">
        <w:r>
          <w:rPr>
            <w:color w:val="175B95"/>
            <w:sz w:val="18"/>
          </w:rPr>
          <w:t>[R028]</w:t>
        </w:r>
      </w:hyperlink>
      <w:r>
        <w:t xml:space="preserve">  </w:t>
      </w:r>
      <w:hyperlink r:id="rId83">
        <w:r>
          <w:rPr>
            <w:color w:val="175B95"/>
            <w:sz w:val="18"/>
          </w:rPr>
          <w:t>Политика музея</w:t>
        </w:r>
      </w:hyperlink>
    </w:p>
    <w:p>
      <w:pPr>
        <w:pStyle w:val="Heading2"/>
      </w:pPr>
      <w:r>
        <w:t>Неизменное распространение: два разных случая</w:t>
      </w:r>
    </w:p>
    <w:p>
      <w:r>
        <w:t>У публикации раздела Ahlâk-ı Alâî установлена CC BY-NC-ND 4.0. Разрешение на неизменный некоммерческий редакционный материал статьи не позволяет публиковать производную транскрипцию или считать все входящие рукописные изображения лицензированными тем же способом. Нельзя взять только сканы из статьи и автоматически распространить на них права статьи. Поэтому оставлен RIGHTS_REVIEW_REQUIRED.</w:t>
      </w:r>
      <w:r>
        <w:t xml:space="preserve">  </w:t>
      </w:r>
      <w:hyperlink r:id="rId41">
        <w:r>
          <w:rPr>
            <w:color w:val="175B95"/>
            <w:sz w:val="18"/>
          </w:rPr>
          <w:t>[R048]</w:t>
        </w:r>
      </w:hyperlink>
    </w:p>
    <w:p>
      <w:r>
        <w:t>Tanzil называет CC BY 3.0 и одновременно предписывает буквальное сохранение текста, атрибуцию, уведомление и ссылку; это не CC BY-ND. Реестр сохраняет обе формулировки и рекомендует только неизменное воспроизведение в явной области разрешения. Нормализация текста, новый перевод на этой цифровой базе, публичные преобразованные индексы и embeddings не получили безусловного положительного тега.</w:t>
      </w:r>
      <w:r>
        <w:t xml:space="preserve">  </w:t>
      </w:r>
      <w:hyperlink r:id="rId35">
        <w:r>
          <w:rPr>
            <w:color w:val="175B95"/>
            <w:sz w:val="18"/>
          </w:rPr>
          <w:t>[R043]</w:t>
        </w:r>
      </w:hyperlink>
      <w:r>
        <w:t xml:space="preserve">  </w:t>
      </w:r>
      <w:hyperlink r:id="rId84">
        <w:r>
          <w:rPr>
            <w:color w:val="175B95"/>
            <w:sz w:val="18"/>
          </w:rPr>
          <w:t>Tanzil Text License</w:t>
        </w:r>
      </w:hyperlink>
    </w:p>
    <w:p>
      <w:pPr>
        <w:pStyle w:val="Heading2"/>
      </w:pPr>
      <w:r>
        <w:t>Читать бесплатно — не значит публиковать заново</w:t>
      </w:r>
    </w:p>
    <w:p>
      <w:r>
        <w:t>Современные версии Shamela и защищённая Kalīla Hindawi сохранены для чтения, а официальная арабская Risāla LAL — также для загрузки и локального исследования. Это полезные пути доступа даже без прав на зеркало. Предоставление текста конкретной библиотеке, как у редакций ʿAṭāʾāt al-ʿIlm, не является открытой сублицензией любому внешнему проекту. Ganjoor также не может служить общим доказательством чистоты исходных критических редакций.</w:t>
      </w:r>
      <w:r>
        <w:t xml:space="preserve">  </w:t>
      </w:r>
      <w:hyperlink r:id="rId65">
        <w:r>
          <w:rPr>
            <w:color w:val="175B95"/>
            <w:sz w:val="18"/>
          </w:rPr>
          <w:t>[R009]</w:t>
        </w:r>
      </w:hyperlink>
      <w:r>
        <w:t xml:space="preserve"> · </w:t>
      </w:r>
      <w:hyperlink r:id="rId68">
        <w:r>
          <w:rPr>
            <w:color w:val="175B95"/>
            <w:sz w:val="18"/>
          </w:rPr>
          <w:t>[R010]</w:t>
        </w:r>
      </w:hyperlink>
      <w:r>
        <w:t xml:space="preserve"> · </w:t>
      </w:r>
      <w:hyperlink r:id="rId74">
        <w:r>
          <w:rPr>
            <w:color w:val="175B95"/>
            <w:sz w:val="18"/>
          </w:rPr>
          <w:t>[R032]</w:t>
        </w:r>
      </w:hyperlink>
      <w:r>
        <w:t xml:space="preserve"> · </w:t>
      </w:r>
      <w:hyperlink r:id="rId26">
        <w:r>
          <w:rPr>
            <w:color w:val="175B95"/>
            <w:sz w:val="18"/>
          </w:rPr>
          <w:t>[R041]</w:t>
        </w:r>
      </w:hyperlink>
      <w:r>
        <w:t xml:space="preserve"> · </w:t>
      </w:r>
      <w:hyperlink r:id="rId38">
        <w:r>
          <w:rPr>
            <w:color w:val="175B95"/>
            <w:sz w:val="18"/>
          </w:rPr>
          <w:t>[R045]</w:t>
        </w:r>
      </w:hyperlink>
      <w:r>
        <w:t xml:space="preserve"> · </w:t>
      </w:r>
      <w:hyperlink r:id="rId17">
        <w:r>
          <w:rPr>
            <w:color w:val="175B95"/>
            <w:sz w:val="18"/>
          </w:rPr>
          <w:t>[R066]</w:t>
        </w:r>
      </w:hyperlink>
    </w:p>
    <w:p>
      <w:r>
        <w:t>Современные переводы Lowry, Wahba, Abbès, Wickens, Winter, Stewart и Lameer относятся к purchase, preview, institutional access или каталожному доступу. Эти способы сохранены, а не отброшены как «несвободные». Перевод Holland сохранён и как издательская карточка, и как ограниченный библиотечный канал. Никакие книги не покупались, выдача не запускалась и регистрация не выполнялась.</w:t>
      </w:r>
      <w:r>
        <w:t xml:space="preserve">  </w:t>
      </w:r>
      <w:hyperlink r:id="rId49">
        <w:r>
          <w:rPr>
            <w:color w:val="175B95"/>
            <w:sz w:val="18"/>
          </w:rPr>
          <w:t>[R002]</w:t>
        </w:r>
      </w:hyperlink>
      <w:r>
        <w:t xml:space="preserve"> · </w:t>
      </w:r>
      <w:hyperlink r:id="rId69">
        <w:r>
          <w:rPr>
            <w:color w:val="175B95"/>
            <w:sz w:val="18"/>
          </w:rPr>
          <w:t>[R021]</w:t>
        </w:r>
      </w:hyperlink>
      <w:r>
        <w:t xml:space="preserve"> · </w:t>
      </w:r>
      <w:hyperlink r:id="rId15">
        <w:r>
          <w:rPr>
            <w:color w:val="175B95"/>
            <w:sz w:val="18"/>
          </w:rPr>
          <w:t>[R022]</w:t>
        </w:r>
      </w:hyperlink>
      <w:r>
        <w:t xml:space="preserve"> · </w:t>
      </w:r>
      <w:hyperlink r:id="rId76">
        <w:r>
          <w:rPr>
            <w:color w:val="175B95"/>
            <w:sz w:val="18"/>
          </w:rPr>
          <w:t>[R025]</w:t>
        </w:r>
      </w:hyperlink>
      <w:r>
        <w:t xml:space="preserve"> · </w:t>
      </w:r>
      <w:hyperlink r:id="rId77">
        <w:r>
          <w:rPr>
            <w:color w:val="175B95"/>
            <w:sz w:val="18"/>
          </w:rPr>
          <w:t>[R026]</w:t>
        </w:r>
      </w:hyperlink>
      <w:r>
        <w:t xml:space="preserve"> · </w:t>
      </w:r>
      <w:hyperlink r:id="rId31">
        <w:r>
          <w:rPr>
            <w:color w:val="175B95"/>
            <w:sz w:val="18"/>
          </w:rPr>
          <w:t>[R044]</w:t>
        </w:r>
      </w:hyperlink>
      <w:r>
        <w:t xml:space="preserve"> · </w:t>
      </w:r>
      <w:hyperlink r:id="rId60">
        <w:r>
          <w:rPr>
            <w:color w:val="175B95"/>
            <w:sz w:val="18"/>
          </w:rPr>
          <w:t>[R062]</w:t>
        </w:r>
      </w:hyperlink>
      <w:r>
        <w:t xml:space="preserve"> · </w:t>
      </w:r>
      <w:hyperlink r:id="rId73">
        <w:r>
          <w:rPr>
            <w:color w:val="175B95"/>
            <w:sz w:val="18"/>
          </w:rPr>
          <w:t>[R063]</w:t>
        </w:r>
      </w:hyperlink>
      <w:r>
        <w:t xml:space="preserve"> · </w:t>
      </w:r>
      <w:hyperlink r:id="rId48">
        <w:r>
          <w:rPr>
            <w:color w:val="175B95"/>
            <w:sz w:val="18"/>
          </w:rPr>
          <w:t>[R068]</w:t>
        </w:r>
      </w:hyperlink>
    </w:p>
    <w:p>
      <w:pPr>
        <w:pStyle w:val="Heading2"/>
      </w:pPr>
      <w:r>
        <w:t>Собственный перевод, OCR, индекс и embeddings</w:t>
      </w:r>
    </w:p>
    <w:p>
      <w:r>
        <w:t>Чистая основа для собственного перевода указана отдельно: PD-обозначенный основной арабский текст Hindawi или исторический оригинальный текст в конкретном доступном факсимиле. Для старых ACO-изданий и персидского Nasiri 1878 это не разрешение перераспространять фотографический объект и не подтверждение прав на каждый современный производный файл. Перевод современного английского посредника не подменяет независимого перевода оригинала.</w:t>
      </w:r>
      <w:r>
        <w:t xml:space="preserve">  </w:t>
      </w:r>
      <w:hyperlink r:id="rId54">
        <w:r>
          <w:rPr>
            <w:color w:val="175B95"/>
            <w:sz w:val="18"/>
          </w:rPr>
          <w:t>[R005]</w:t>
        </w:r>
      </w:hyperlink>
      <w:r>
        <w:t xml:space="preserve"> · </w:t>
      </w:r>
      <w:hyperlink r:id="rId63">
        <w:r>
          <w:rPr>
            <w:color w:val="175B95"/>
            <w:sz w:val="18"/>
          </w:rPr>
          <w:t>[R006]</w:t>
        </w:r>
      </w:hyperlink>
      <w:r>
        <w:t xml:space="preserve"> · </w:t>
      </w:r>
      <w:hyperlink r:id="rId58">
        <w:r>
          <w:rPr>
            <w:color w:val="175B95"/>
            <w:sz w:val="18"/>
          </w:rPr>
          <w:t>[R007]</w:t>
        </w:r>
      </w:hyperlink>
      <w:r>
        <w:t xml:space="preserve"> · </w:t>
      </w:r>
      <w:hyperlink r:id="rId59">
        <w:r>
          <w:rPr>
            <w:color w:val="175B95"/>
            <w:sz w:val="18"/>
          </w:rPr>
          <w:t>[R008]</w:t>
        </w:r>
      </w:hyperlink>
      <w:r>
        <w:t xml:space="preserve"> · </w:t>
      </w:r>
      <w:hyperlink r:id="rId70">
        <w:r>
          <w:rPr>
            <w:color w:val="175B95"/>
            <w:sz w:val="18"/>
          </w:rPr>
          <w:t>[R027]</w:t>
        </w:r>
      </w:hyperlink>
      <w:r>
        <w:t xml:space="preserve"> · </w:t>
      </w:r>
      <w:hyperlink r:id="rId55">
        <w:r>
          <w:rPr>
            <w:color w:val="175B95"/>
            <w:sz w:val="18"/>
          </w:rPr>
          <w:t>[R029]</w:t>
        </w:r>
      </w:hyperlink>
      <w:r>
        <w:t xml:space="preserve"> · </w:t>
      </w:r>
      <w:hyperlink r:id="rId57">
        <w:r>
          <w:rPr>
            <w:color w:val="175B95"/>
            <w:sz w:val="18"/>
          </w:rPr>
          <w:t>[R030]</w:t>
        </w:r>
      </w:hyperlink>
      <w:r>
        <w:t xml:space="preserve"> · </w:t>
      </w:r>
      <w:hyperlink r:id="rId37">
        <w:r>
          <w:rPr>
            <w:color w:val="175B95"/>
            <w:sz w:val="18"/>
          </w:rPr>
          <w:t>[R060]</w:t>
        </w:r>
      </w:hyperlink>
    </w:p>
    <w:p>
      <w:r>
        <w:t>OCR, открытый полнотекстовый индекс и embeddings оценены раздельно. Для уже готового HTML OCR обычно не нужен; для скана необходима проверка прав самого файла. При неясной современной транскрипции, реконструкции или запрете изменений не поставлен общий тег «всё разрешено для исследований». Сочетание положительного тега и RIGHTS_REVIEW_REQUIRED означает: разрешён только прямо описанный компонент и действие, автоматическое расширение области запрещено.</w:t>
      </w:r>
    </w:p>
    <w:p>
      <w:pPr>
        <w:pStyle w:val="Heading1"/>
      </w:pPr>
      <w:r>
        <w:t>5. Характерные правовые и текстологические тонкости</w:t>
      </w:r>
    </w:p>
    <w:p>
      <w:r>
        <w:t>Возраст произведения и возраст издания различаются. Al-Risāla IX века, английский Lowry и его установленный арабский текст — разные слои. Точно так же Nasiri 1235 года, поздний могольский кодекс, старопечатный персидский текст, перевод Wickens и критическое издание Lameer не имеют одного общего rights statement.</w:t>
      </w:r>
      <w:r>
        <w:t xml:space="preserve">  </w:t>
      </w:r>
      <w:hyperlink r:id="rId49">
        <w:r>
          <w:rPr>
            <w:color w:val="175B95"/>
            <w:sz w:val="18"/>
          </w:rPr>
          <w:t>[R002]</w:t>
        </w:r>
      </w:hyperlink>
      <w:r>
        <w:t xml:space="preserve"> · </w:t>
      </w:r>
      <w:hyperlink r:id="rId68">
        <w:r>
          <w:rPr>
            <w:color w:val="175B95"/>
            <w:sz w:val="18"/>
          </w:rPr>
          <w:t>[R010]</w:t>
        </w:r>
      </w:hyperlink>
      <w:r>
        <w:t xml:space="preserve"> · </w:t>
      </w:r>
      <w:hyperlink r:id="rId69">
        <w:r>
          <w:rPr>
            <w:color w:val="175B95"/>
            <w:sz w:val="18"/>
          </w:rPr>
          <w:t>[R021]</w:t>
        </w:r>
      </w:hyperlink>
      <w:r>
        <w:t xml:space="preserve"> · </w:t>
      </w:r>
      <w:hyperlink r:id="rId70">
        <w:r>
          <w:rPr>
            <w:color w:val="175B95"/>
            <w:sz w:val="18"/>
          </w:rPr>
          <w:t>[R027]</w:t>
        </w:r>
      </w:hyperlink>
      <w:r>
        <w:t xml:space="preserve"> · </w:t>
      </w:r>
      <w:hyperlink r:id="rId42">
        <w:r>
          <w:rPr>
            <w:color w:val="175B95"/>
            <w:sz w:val="18"/>
          </w:rPr>
          <w:t>[R028]</w:t>
        </w:r>
      </w:hyperlink>
      <w:r>
        <w:t xml:space="preserve"> · </w:t>
      </w:r>
      <w:hyperlink r:id="rId17">
        <w:r>
          <w:rPr>
            <w:color w:val="175B95"/>
            <w:sz w:val="18"/>
          </w:rPr>
          <w:t>[R066]</w:t>
        </w:r>
      </w:hyperlink>
      <w:r>
        <w:t xml:space="preserve"> · </w:t>
      </w:r>
      <w:hyperlink r:id="rId48">
        <w:r>
          <w:rPr>
            <w:color w:val="175B95"/>
            <w:sz w:val="18"/>
          </w:rPr>
          <w:t>[R068]</w:t>
        </w:r>
      </w:hyperlink>
    </w:p>
    <w:p>
      <w:r>
        <w:t>Комплектность требует отдельного поля. Один доступный том, глава или свидетель не означает полного корпуса: al-ʿUdda здесь ограничена первым томом; ACO-комплект Mustasfa/Fawātiḥ — частью издания; Muḥsinī Keene — пятнадцатью главами; английский Muwāfaqāt Garnet — тремя из пяти частей; AKM288 — выбранными изображениями. Эти ограничения важнее самого наличия кнопки Download.</w:t>
      </w:r>
      <w:r>
        <w:t xml:space="preserve">  </w:t>
      </w:r>
      <w:hyperlink r:id="rId11">
        <w:r>
          <w:rPr>
            <w:color w:val="175B95"/>
            <w:sz w:val="18"/>
          </w:rPr>
          <w:t>[R049]</w:t>
        </w:r>
      </w:hyperlink>
      <w:r>
        <w:t xml:space="preserve"> · </w:t>
      </w:r>
      <w:hyperlink r:id="rId45">
        <w:r>
          <w:rPr>
            <w:color w:val="175B95"/>
            <w:sz w:val="18"/>
          </w:rPr>
          <w:t>[R053]</w:t>
        </w:r>
      </w:hyperlink>
      <w:r>
        <w:t xml:space="preserve"> · </w:t>
      </w:r>
      <w:hyperlink r:id="rId33">
        <w:r>
          <w:rPr>
            <w:color w:val="175B95"/>
            <w:sz w:val="18"/>
          </w:rPr>
          <w:t>[R055]</w:t>
        </w:r>
      </w:hyperlink>
      <w:r>
        <w:t xml:space="preserve"> · </w:t>
      </w:r>
      <w:hyperlink r:id="rId78">
        <w:r>
          <w:rPr>
            <w:color w:val="175B95"/>
            <w:sz w:val="18"/>
          </w:rPr>
          <w:t>[R074]</w:t>
        </w:r>
      </w:hyperlink>
      <w:r>
        <w:t xml:space="preserve"> · </w:t>
      </w:r>
      <w:hyperlink r:id="rId79">
        <w:r>
          <w:rPr>
            <w:color w:val="175B95"/>
            <w:sz w:val="18"/>
          </w:rPr>
          <w:t>[R075]</w:t>
        </w:r>
      </w:hyperlink>
      <w:r>
        <w:t xml:space="preserve"> · </w:t>
      </w:r>
      <w:hyperlink r:id="rId42">
        <w:r>
          <w:rPr>
            <w:color w:val="175B95"/>
            <w:sz w:val="18"/>
          </w:rPr>
          <w:t>[R028]</w:t>
        </w:r>
      </w:hyperlink>
    </w:p>
    <w:p>
      <w:r>
        <w:t>Заглавие не гарантирует тождество. Al-Iḥkām Ибн Хазма и al-Iḥkām ал-Амиди разведены. Газали и Псевдо-Газали, Маварди и Псевдо-Маварди не объединены догадкой. В Туси разведены разные исторические авторы, а у комментарийных изданий — основной текст, sharḥ и ḥāshiya. Историческая компиляция Rasāʾil не превращена в доказательство существования сохранившегося полного доисламского оригинала.</w:t>
      </w:r>
      <w:r>
        <w:t xml:space="preserve">  </w:t>
      </w:r>
      <w:hyperlink r:id="rId24">
        <w:r>
          <w:rPr>
            <w:color w:val="175B95"/>
            <w:sz w:val="18"/>
          </w:rPr>
          <w:t>[R037]</w:t>
        </w:r>
      </w:hyperlink>
      <w:r>
        <w:t xml:space="preserve"> · </w:t>
      </w:r>
      <w:hyperlink r:id="rId33">
        <w:r>
          <w:rPr>
            <w:color w:val="175B95"/>
            <w:sz w:val="18"/>
          </w:rPr>
          <w:t>[R055]</w:t>
        </w:r>
      </w:hyperlink>
      <w:r>
        <w:t xml:space="preserve"> · </w:t>
      </w:r>
      <w:hyperlink r:id="rId37">
        <w:r>
          <w:rPr>
            <w:color w:val="175B95"/>
            <w:sz w:val="18"/>
          </w:rPr>
          <w:t>[R060]</w:t>
        </w:r>
      </w:hyperlink>
      <w:r>
        <w:t xml:space="preserve"> · </w:t>
      </w:r>
      <w:hyperlink r:id="rId85">
        <w:r>
          <w:rPr>
            <w:color w:val="175B95"/>
            <w:sz w:val="18"/>
          </w:rPr>
          <w:t>[R065]</w:t>
        </w:r>
      </w:hyperlink>
      <w:r>
        <w:t xml:space="preserve"> · </w:t>
      </w:r>
      <w:hyperlink r:id="rId29">
        <w:r>
          <w:rPr>
            <w:color w:val="175B95"/>
            <w:sz w:val="18"/>
          </w:rPr>
          <w:t>[R070]</w:t>
        </w:r>
      </w:hyperlink>
      <w:r>
        <w:t xml:space="preserve"> · </w:t>
      </w:r>
      <w:hyperlink r:id="rId18">
        <w:r>
          <w:rPr>
            <w:color w:val="175B95"/>
            <w:sz w:val="18"/>
          </w:rPr>
          <w:t>[R071]</w:t>
        </w:r>
      </w:hyperlink>
      <w:r>
        <w:t xml:space="preserve"> · </w:t>
      </w:r>
      <w:hyperlink r:id="rId46">
        <w:r>
          <w:rPr>
            <w:color w:val="175B95"/>
            <w:sz w:val="18"/>
          </w:rPr>
          <w:t>[R073]</w:t>
        </w:r>
      </w:hyperlink>
    </w:p>
    <w:p>
      <w:r>
        <w:t>Современный цифровой проект не равен своему исходному массиву. AnonymClassic публикует только часть транскрибированных материалов, а факсимиле получает по индивидуальным соглашениям. У OpenITI номер релиза 2025.1.9 и дата объявления KITAB в феврале 2026 не равны дате самой публикации на Zenodo: карточка релиза указывает 30 декабря 2025. Общие размеры корпуса, приведённые в DR, не использованы как количество доступных текстов T2-15.</w:t>
      </w:r>
      <w:r>
        <w:t xml:space="preserve">  </w:t>
      </w:r>
      <w:hyperlink r:id="rId81">
        <w:r>
          <w:rPr>
            <w:color w:val="175B95"/>
            <w:sz w:val="18"/>
          </w:rPr>
          <w:t>[R001]</w:t>
        </w:r>
      </w:hyperlink>
      <w:r>
        <w:t xml:space="preserve"> · </w:t>
      </w:r>
      <w:hyperlink r:id="rId39">
        <w:r>
          <w:rPr>
            <w:color w:val="175B95"/>
            <w:sz w:val="18"/>
          </w:rPr>
          <w:t>[R076]</w:t>
        </w:r>
      </w:hyperlink>
      <w:r>
        <w:t xml:space="preserve">  </w:t>
      </w:r>
      <w:hyperlink r:id="rId86">
        <w:r>
          <w:rPr>
            <w:color w:val="175B95"/>
            <w:sz w:val="18"/>
          </w:rPr>
          <w:t>Объявление KITAB</w:t>
        </w:r>
      </w:hyperlink>
    </w:p>
    <w:p>
      <w:r>
        <w:t>Ошибки доступа не скрыты. Ответ 403 у HathiTrust/Gallica/Brill означает неудачную проверку данным инструментом, а не доказательство отсутствия файла для обычного пользователя. «Карточка открыта», «есть список томов», «просмотрен образец текста» и «файл проверен» разделены в verification_status. Полное бесплатное чтение в access_mode обозначает режим предоставления указанного объекта; это не заявление, что исследователь прочёл каждую его страницу.</w:t>
      </w:r>
      <w:r>
        <w:t xml:space="preserve">  </w:t>
      </w:r>
      <w:hyperlink r:id="rId66">
        <w:r>
          <w:rPr>
            <w:color w:val="175B95"/>
            <w:sz w:val="18"/>
          </w:rPr>
          <w:t>[R023]</w:t>
        </w:r>
      </w:hyperlink>
      <w:r>
        <w:t xml:space="preserve"> · </w:t>
      </w:r>
      <w:hyperlink r:id="rId66">
        <w:r>
          <w:rPr>
            <w:color w:val="175B95"/>
            <w:sz w:val="18"/>
          </w:rPr>
          <w:t>[R024]</w:t>
        </w:r>
      </w:hyperlink>
      <w:r>
        <w:t xml:space="preserve"> · </w:t>
      </w:r>
      <w:hyperlink r:id="rId40">
        <w:r>
          <w:rPr>
            <w:color w:val="175B95"/>
            <w:sz w:val="18"/>
          </w:rPr>
          <w:t>[R047]</w:t>
        </w:r>
      </w:hyperlink>
      <w:r>
        <w:t xml:space="preserve"> · </w:t>
      </w:r>
      <w:hyperlink r:id="rId48">
        <w:r>
          <w:rPr>
            <w:color w:val="175B95"/>
            <w:sz w:val="18"/>
          </w:rPr>
          <w:t>[R068]</w:t>
        </w:r>
      </w:hyperlink>
      <w:r>
        <w:t xml:space="preserve"> · </w:t>
      </w:r>
      <w:hyperlink r:id="rId64">
        <w:r>
          <w:rPr>
            <w:color w:val="175B95"/>
            <w:sz w:val="18"/>
          </w:rPr>
          <w:t>[R077]</w:t>
        </w:r>
      </w:hyperlink>
    </w:p>
    <w:p>
      <w:pPr>
        <w:pStyle w:val="Heading1"/>
      </w:pPr>
      <w:r>
        <w:t>6. Пробелы и дальнейший поиск</w:t>
      </w:r>
    </w:p>
    <w:p>
      <w:r>
        <w:t>Покрытие ядра существенно, но исследование не исчерпывает всех рукописей, школ и переводов. Неустановленное заглавие, заблокированная страница, неполный том и неочищенная лицензия — разные виды пробела. На листе gaps сохранены причина, конкретный следующий шаг, исходный URL, релевантность и приоритет; ниже сгруппированы наиболее полезные направления.</w:t>
      </w:r>
    </w:p>
    <w:p>
      <w:pPr>
        <w:pStyle w:val="Heading3"/>
      </w:pPr>
      <w:r>
        <w:t>1. Довести персидские зеркала до полных научных версий</w:t>
      </w:r>
    </w:p>
    <w:p>
      <w:r>
        <w:t>Повторно открыть Darke через Routledge/Taylor &amp; Francis; найти самостоятельный персидский Naṣīḥat al-mulūk и Bagley; сопоставить с арабским Tibr. Для Qābūsnāma проверить издание и английский перевод Reuben Levy по официальному каталогу, а не по свободно загруженному современному PDF. Отдельно сверить состав русского перевода-посредника и его спорные выходные даты.</w:t>
      </w:r>
      <w:r>
        <w:t xml:space="preserve">  </w:t>
      </w:r>
      <w:hyperlink r:id="rId66">
        <w:r>
          <w:rPr>
            <w:color w:val="175B95"/>
            <w:sz w:val="18"/>
          </w:rPr>
          <w:t>[R023]</w:t>
        </w:r>
      </w:hyperlink>
      <w:r>
        <w:t xml:space="preserve"> · </w:t>
      </w:r>
      <w:hyperlink r:id="rId66">
        <w:r>
          <w:rPr>
            <w:color w:val="175B95"/>
            <w:sz w:val="18"/>
          </w:rPr>
          <w:t>[R024]</w:t>
        </w:r>
      </w:hyperlink>
      <w:r>
        <w:t xml:space="preserve"> · </w:t>
      </w:r>
      <w:hyperlink r:id="rId47">
        <w:r>
          <w:rPr>
            <w:color w:val="175B95"/>
            <w:sz w:val="18"/>
          </w:rPr>
          <w:t>[R059]</w:t>
        </w:r>
      </w:hyperlink>
      <w:r>
        <w:t xml:space="preserve"> · </w:t>
      </w:r>
      <w:hyperlink r:id="rId18">
        <w:r>
          <w:rPr>
            <w:color w:val="175B95"/>
            <w:sz w:val="18"/>
          </w:rPr>
          <w:t>[R071]</w:t>
        </w:r>
      </w:hyperlink>
    </w:p>
    <w:p>
      <w:pPr>
        <w:pStyle w:val="Heading3"/>
      </w:pPr>
      <w:r>
        <w:t>2. Закрыть позднюю akhlāq, не расширяя её до всей персидской литературы</w:t>
      </w:r>
    </w:p>
    <w:p>
      <w:r>
        <w:t>Найти полный персидский Jalālī, полный Muḥsinī и османский ʿAlāʾī. Сверить прямые заимствования и композиционные связи с Nasiri по научному аппарату. В реестре уже есть реальные старые/частичные входы, поэтому пробел состоит именно в недостающих слоях и полноте, а не в отсутствии этих произведений.</w:t>
      </w:r>
      <w:r>
        <w:t xml:space="preserve">  </w:t>
      </w:r>
      <w:hyperlink r:id="rId40">
        <w:r>
          <w:rPr>
            <w:color w:val="175B95"/>
            <w:sz w:val="18"/>
          </w:rPr>
          <w:t>[R047]</w:t>
        </w:r>
      </w:hyperlink>
      <w:r>
        <w:t xml:space="preserve"> · </w:t>
      </w:r>
      <w:hyperlink r:id="rId41">
        <w:r>
          <w:rPr>
            <w:color w:val="175B95"/>
            <w:sz w:val="18"/>
          </w:rPr>
          <w:t>[R048]</w:t>
        </w:r>
      </w:hyperlink>
      <w:r>
        <w:t xml:space="preserve"> · </w:t>
      </w:r>
      <w:hyperlink r:id="rId11">
        <w:r>
          <w:rPr>
            <w:color w:val="175B95"/>
            <w:sz w:val="18"/>
          </w:rPr>
          <w:t>[R049]</w:t>
        </w:r>
      </w:hyperlink>
    </w:p>
    <w:p>
      <w:pPr>
        <w:pStyle w:val="Heading3"/>
      </w:pPr>
      <w:r>
        <w:t>3. Проверить отдельные текстовые семьи внутри зеркал</w:t>
      </w:r>
    </w:p>
    <w:p>
      <w:r>
        <w:t>Нужны item-level версии Псевдо-Маварди Naṣīḥat al-mulūk, Ādāb al-mulūk ас-Саʿалиби, Kutadgu Bilig и полного Sirr al-asrār. Первые три подтверждены академической навигацией Marlow, но ещё не получили отдельного проверенного текстового входа. NLM-фрагмент Sirr не закрывает остальные редакции и латинскую передачу.</w:t>
      </w:r>
      <w:r>
        <w:t xml:space="preserve">  </w:t>
      </w:r>
      <w:hyperlink r:id="rId87">
        <w:r>
          <w:rPr>
            <w:color w:val="175B95"/>
            <w:sz w:val="18"/>
          </w:rPr>
          <w:t>[R034]</w:t>
        </w:r>
      </w:hyperlink>
      <w:r>
        <w:t xml:space="preserve"> · </w:t>
      </w:r>
      <w:hyperlink r:id="rId85">
        <w:r>
          <w:rPr>
            <w:color w:val="175B95"/>
            <w:sz w:val="18"/>
          </w:rPr>
          <w:t>[R065]</w:t>
        </w:r>
      </w:hyperlink>
    </w:p>
    <w:p>
      <w:pPr>
        <w:pStyle w:val="Heading3"/>
      </w:pPr>
      <w:r>
        <w:t>4. Уточнить ранние входящие слои</w:t>
      </w:r>
    </w:p>
    <w:p>
      <w:r>
        <w:t>Для al-Ḥikma al-khālida / Jāwīdān khirad необходимо открыть Vat. ar. 408 и научное издание Badawī. Для ʿAhd Ardashīr — сопоставить выбранный арабский текст с полными редакциями. Для Калила — выбрать конкретные санскритскую и сирийскую версии. В качестве нормативного входа отдельно остаётся Сунна: DR называет традицию, но прежде включения хадисного корпуса нужно установить конкретные сборники и цитируемые тексты.</w:t>
      </w:r>
      <w:r>
        <w:t xml:space="preserve">  </w:t>
      </w:r>
      <w:hyperlink r:id="rId37">
        <w:r>
          <w:rPr>
            <w:color w:val="175B95"/>
            <w:sz w:val="18"/>
          </w:rPr>
          <w:t>[R060]</w:t>
        </w:r>
      </w:hyperlink>
      <w:r>
        <w:t xml:space="preserve"> · </w:t>
      </w:r>
      <w:hyperlink r:id="rId17">
        <w:r>
          <w:rPr>
            <w:color w:val="175B95"/>
            <w:sz w:val="18"/>
          </w:rPr>
          <w:t>[R066]</w:t>
        </w:r>
      </w:hyperlink>
      <w:r>
        <w:t xml:space="preserve"> · </w:t>
      </w:r>
      <w:hyperlink r:id="rId39">
        <w:r>
          <w:rPr>
            <w:color w:val="175B95"/>
            <w:sz w:val="18"/>
          </w:rPr>
          <w:t>[R076]</w:t>
        </w:r>
      </w:hyperlink>
    </w:p>
    <w:p>
      <w:pPr>
        <w:pStyle w:val="Heading3"/>
      </w:pPr>
      <w:r>
        <w:t>5. Продолжить комментарийные и несуннитские цепи</w:t>
      </w:r>
    </w:p>
    <w:p>
      <w:r>
        <w:t>Приоритет имеют Ibn al-Ḥājib — al-Ījī — al-Jurjānī, комментарий ал-Забиди к Ihya, остальные тома al-ʿUdda и проверка всех PDF al-Mujzī. Уже найденные линии ал-Аттара, Talwīḥ и Fawātiḥ показывают, что поздние комментарии включены содержательно, но не заменяют школу за школой полную инвентаризацию.</w:t>
      </w:r>
      <w:r>
        <w:t xml:space="preserve">  </w:t>
      </w:r>
      <w:hyperlink r:id="rId43">
        <w:r>
          <w:rPr>
            <w:color w:val="175B95"/>
            <w:sz w:val="18"/>
          </w:rPr>
          <w:t>[R050]</w:t>
        </w:r>
      </w:hyperlink>
      <w:r>
        <w:t xml:space="preserve"> · </w:t>
      </w:r>
      <w:hyperlink r:id="rId45">
        <w:r>
          <w:rPr>
            <w:color w:val="175B95"/>
            <w:sz w:val="18"/>
          </w:rPr>
          <w:t>[R053]</w:t>
        </w:r>
      </w:hyperlink>
      <w:r>
        <w:t xml:space="preserve"> · </w:t>
      </w:r>
      <w:hyperlink r:id="rId32">
        <w:r>
          <w:rPr>
            <w:color w:val="175B95"/>
            <w:sz w:val="18"/>
          </w:rPr>
          <w:t>[R054]</w:t>
        </w:r>
      </w:hyperlink>
      <w:r>
        <w:t xml:space="preserve"> · </w:t>
      </w:r>
      <w:hyperlink r:id="rId33">
        <w:r>
          <w:rPr>
            <w:color w:val="175B95"/>
            <w:sz w:val="18"/>
          </w:rPr>
          <w:t>[R055]</w:t>
        </w:r>
      </w:hyperlink>
      <w:r>
        <w:t xml:space="preserve"> · </w:t>
      </w:r>
      <w:hyperlink r:id="rId72">
        <w:r>
          <w:rPr>
            <w:color w:val="175B95"/>
            <w:sz w:val="18"/>
          </w:rPr>
          <w:t>[R061]</w:t>
        </w:r>
      </w:hyperlink>
      <w:r>
        <w:t xml:space="preserve"> · </w:t>
      </w:r>
      <w:hyperlink r:id="rId46">
        <w:r>
          <w:rPr>
            <w:color w:val="175B95"/>
            <w:sz w:val="18"/>
          </w:rPr>
          <w:t>[R073]</w:t>
        </w:r>
      </w:hyperlink>
    </w:p>
    <w:p>
      <w:pPr>
        <w:pStyle w:val="Heading3"/>
      </w:pPr>
      <w:r>
        <w:t>6. Повторить рукописные и цифровые входы</w:t>
      </w:r>
    </w:p>
    <w:p>
      <w:r>
        <w:t>Восстановить предметный просмотр CAJS Rar Ms 147, Yale Sirr, Cambridge Or. 8 в Fihrist, Bodleian Pococke 400, BnF arabe 3465 и Parker 578; проверить упомянутый ранний свидетель Nasiri Punjab 1557. Для каждого нужны состав кодекса, дата копии, полнота оцифровки и item-level права. Одно музейное изображение или общая страница коллекции не закрывают эту работу.</w:t>
      </w:r>
      <w:r>
        <w:t xml:space="preserve">  </w:t>
      </w:r>
      <w:hyperlink r:id="rId87">
        <w:r>
          <w:rPr>
            <w:color w:val="175B95"/>
            <w:sz w:val="18"/>
          </w:rPr>
          <w:t>[R034]</w:t>
        </w:r>
      </w:hyperlink>
      <w:r>
        <w:t xml:space="preserve"> · </w:t>
      </w:r>
      <w:hyperlink r:id="rId34">
        <w:r>
          <w:rPr>
            <w:color w:val="175B95"/>
            <w:sz w:val="18"/>
          </w:rPr>
          <w:t>[R056]</w:t>
        </w:r>
      </w:hyperlink>
      <w:r>
        <w:t xml:space="preserve"> · </w:t>
      </w:r>
      <w:hyperlink r:id="rId64">
        <w:r>
          <w:rPr>
            <w:color w:val="175B95"/>
            <w:sz w:val="18"/>
          </w:rPr>
          <w:t>[R077]</w:t>
        </w:r>
      </w:hyperlink>
    </w:p>
    <w:p>
      <w:pPr>
        <w:pStyle w:val="Heading3"/>
      </w:pPr>
      <w:r>
        <w:t>7. Очистить права выбранного машинного подкорпуса и русских переводов</w:t>
      </w:r>
    </w:p>
    <w:p>
      <w:r>
        <w:t>Для OpenITI проверить source edition конкретных файлов, а для Ganjoor — происхождение набора и применимые условия экспорта. Неочищенные предисловия и аппарат отделять до публикации индекса. Русские версии Risala, Tahdhīb, Nasiri и Ahkam требуют самостоятельного библиотечно-издательского поиска. Проверенные сейчас русские входы — каталожный Заходер и репринт Qābūsnāma через татарский — не являются свободным русским корпусом.</w:t>
      </w:r>
      <w:r>
        <w:t xml:space="preserve">  </w:t>
      </w:r>
      <w:hyperlink r:id="rId81">
        <w:r>
          <w:rPr>
            <w:color w:val="175B95"/>
            <w:sz w:val="18"/>
          </w:rPr>
          <w:t>[R001]</w:t>
        </w:r>
      </w:hyperlink>
      <w:r>
        <w:t xml:space="preserve"> · </w:t>
      </w:r>
      <w:hyperlink r:id="rId65">
        <w:r>
          <w:rPr>
            <w:color w:val="175B95"/>
            <w:sz w:val="18"/>
          </w:rPr>
          <w:t>[R009]</w:t>
        </w:r>
      </w:hyperlink>
      <w:r>
        <w:t xml:space="preserve"> · </w:t>
      </w:r>
      <w:hyperlink r:id="rId68">
        <w:r>
          <w:rPr>
            <w:color w:val="175B95"/>
            <w:sz w:val="18"/>
          </w:rPr>
          <w:t>[R010]</w:t>
        </w:r>
      </w:hyperlink>
      <w:r>
        <w:t xml:space="preserve"> · </w:t>
      </w:r>
      <w:hyperlink r:id="rId67">
        <w:r>
          <w:rPr>
            <w:color w:val="175B95"/>
            <w:sz w:val="18"/>
          </w:rPr>
          <w:t>[R058]</w:t>
        </w:r>
      </w:hyperlink>
      <w:r>
        <w:t xml:space="preserve"> · </w:t>
      </w:r>
      <w:hyperlink r:id="rId47">
        <w:r>
          <w:rPr>
            <w:color w:val="175B95"/>
            <w:sz w:val="18"/>
          </w:rPr>
          <w:t>[R059]</w:t>
        </w:r>
      </w:hyperlink>
    </w:p>
    <w:p>
      <w:r>
        <w:t>Кандидаты unverified_candidate не включены в registry как установленные полные объекты: al-Ḥikma al-khālida / Vat. ar. 408 и Aḥkām Абу Яʿлы с возможным смешением авторов в ACO. Неподтверждённые интернет-загрузки защищённых переводов не предлагаются как бесплатная альтернатива. Отдельно не проверены аккаунтная выдача, фактическая покупка, живые остатки книг и массовое скачивание всех томов.</w:t>
      </w:r>
    </w:p>
    <w:p>
      <w:pPr>
        <w:pStyle w:val="Heading1"/>
      </w:pPr>
      <w:r>
        <w:t>7. Итоговая оценка</w:t>
      </w:r>
    </w:p>
    <w:p>
      <w:r>
        <w:rPr>
          <w:b/>
          <w:color w:val="143C4C"/>
        </w:rPr>
        <w:t>Пакет пригоден для передачи Codex как исследовательский реестр, но не как автоматически разрешённый набор файлов для публичного зеркала.</w:t>
      </w:r>
    </w:p>
    <w:p>
      <w:r>
        <w:t>Арабское текстовое ядро покрыто хорошо: основные якоря имеют конкретные версии, а uṣūl расширен за пределы нескольких авторов. Персидские оригиналы доступны для чтения, однако точная история редакций и права цифрового набора прояснены хуже. Современные переводы чаще остаются защищёнными издательскими, библиотечными или preview-входами; русская часть заметно уже английской и французской.</w:t>
      </w:r>
    </w:p>
    <w:p>
      <w:r>
        <w:t>Наиболее свободны явно обозначенные PD-тексты Hindawi и конкретные исторические файлы с item-level статусом. Некоммерческий слой OpenITI и музейных изображений полезен при сохранении области лицензии, атрибуции и ShareAlike/ND там, где они применимы. Главные ограничения сосредоточены в современных критических редакциях, переводах, правах на изображения и неполной проверке комплектов.</w:t>
      </w:r>
    </w:p>
    <w:p>
      <w:r>
        <w:t>Историческая строка T2-15 и статус B сохранены. Более ранние входы и поздние продолжения представлены как связанные слои, а не как повод переписать мастер-хронологию. Следующий этап может использовать record_id, стабильные идентификаторы, coverage и notes для нормализации; RIGHTS_REVIEW_REQUIRED должен оставаться блокирующим сигналом для любого автоматического действия вне явно доказанного scope.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37" w:right="1066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T2-15  •  04.09.2026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ДРЕВО СОФИИ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43C4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5C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946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Calibri" w:hAnsi="Calibri"/>
      <w:color w:val="143C4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60" w:after="100"/>
    </w:pPr>
    <w:rPr>
      <w:rFonts w:asciiTheme="majorHAnsi" w:eastAsiaTheme="majorEastAsia" w:hAnsiTheme="majorHAnsi" w:cstheme="majorBidi" w:ascii="Calibri" w:hAnsi="Calibri"/>
      <w:i/>
      <w:iCs/>
      <w:color w:val="5264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5360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mmons.wikimedia.org/wiki/File:Akhlak-I_Muhsini;_or,_the_Morals_of_the_Beneficent,_literally_translated_from_the_Persian_of_Husain_Vaiz_Kashifi_into_English_(IA_dli.granth.70974).pdf" TargetMode="External"/><Relationship Id="rId12" Type="http://schemas.openxmlformats.org/officeDocument/2006/relationships/hyperlink" Target="https://github.com/OpenITI/0500AH/blob/master/data/0478ImamHaramaynJuwayni/0478ImamHaramaynJuwayni.BurhanFiUsulFiqh/0478ImamHaramaynJuwayni.BurhanFiUsulFiqh.JK000781-ara1" TargetMode="External"/><Relationship Id="rId13" Type="http://schemas.openxmlformats.org/officeDocument/2006/relationships/hyperlink" Target="https://github.com/OpenITI/0525AH/blob/master/data/0505Ghazali/0505Ghazali.Mustasfa/0505Ghazali.Mustasfa.JK000276-ara1" TargetMode="External"/><Relationship Id="rId14" Type="http://schemas.openxmlformats.org/officeDocument/2006/relationships/hyperlink" Target="https://github.com/OpenITI/0525AH/blob/master/data/0505Ghazali/0505Ghazali.MizanCamal/0505Ghazali.MizanCamal.JK009289-ara1" TargetMode="External"/><Relationship Id="rId15" Type="http://schemas.openxmlformats.org/officeDocument/2006/relationships/hyperlink" Target="https://www.lesbelleslettres.com/livre/9782251183169/de-l-ethique-du-prince-et-du-gouvernement-de-l-etat" TargetMode="External"/><Relationship Id="rId16" Type="http://schemas.openxmlformats.org/officeDocument/2006/relationships/hyperlink" Target="https://shamela.ws/book/11435" TargetMode="External"/><Relationship Id="rId17" Type="http://schemas.openxmlformats.org/officeDocument/2006/relationships/hyperlink" Target="https://www.libraryofarabicliterature.org/books/9780814769980/the-epistle-on-legal-theory/" TargetMode="External"/><Relationship Id="rId18" Type="http://schemas.openxmlformats.org/officeDocument/2006/relationships/hyperlink" Target="https://shamela.ws/book/4129" TargetMode="External"/><Relationship Id="rId19" Type="http://schemas.openxmlformats.org/officeDocument/2006/relationships/hyperlink" Target="https://github.com/OpenITI/0500AH/blob/master/data/0478ImamHaramaynJuwayni/0478ImamHaramaynJuwayni.GhiyathUmam/0478ImamHaramaynJuwayni.GhiyathUmam.JK000043-ara1" TargetMode="External"/><Relationship Id="rId20" Type="http://schemas.openxmlformats.org/officeDocument/2006/relationships/hyperlink" Target="https://github.com/OpenITI/0500AH/blob/master/data/0478ImamHaramaynJuwayni/0478ImamHaramaynJuwayni.Waraqat/0478ImamHaramaynJuwayni.Waraqat.JK000308-ara1" TargetMode="External"/><Relationship Id="rId21" Type="http://schemas.openxmlformats.org/officeDocument/2006/relationships/hyperlink" Target="https://github.com/OpenITI/0500AH/blob/master/data/0482IbnMuhammadBazdawi/0482IbnMuhammadBazdawi.KanzWusul/0482IbnMuhammadBazdawi.KanzWusul.JK000173-ara1" TargetMode="External"/><Relationship Id="rId22" Type="http://schemas.openxmlformats.org/officeDocument/2006/relationships/hyperlink" Target="https://shamela.ws/book/676" TargetMode="External"/><Relationship Id="rId23" Type="http://schemas.openxmlformats.org/officeDocument/2006/relationships/hyperlink" Target="https://shamela.ws/book/6319" TargetMode="External"/><Relationship Id="rId24" Type="http://schemas.openxmlformats.org/officeDocument/2006/relationships/hyperlink" Target="https://shamela.ws/book/10801" TargetMode="External"/><Relationship Id="rId25" Type="http://schemas.openxmlformats.org/officeDocument/2006/relationships/hyperlink" Target="https://shamela.ws/book/2022" TargetMode="External"/><Relationship Id="rId26" Type="http://schemas.openxmlformats.org/officeDocument/2006/relationships/hyperlink" Target="https://shamela.ws/book/18159" TargetMode="External"/><Relationship Id="rId27" Type="http://schemas.openxmlformats.org/officeDocument/2006/relationships/hyperlink" Target="https://shamela.ws/book/8608" TargetMode="External"/><Relationship Id="rId28" Type="http://schemas.openxmlformats.org/officeDocument/2006/relationships/hyperlink" Target="https://shamela.ws/book/12010" TargetMode="External"/><Relationship Id="rId29" Type="http://schemas.openxmlformats.org/officeDocument/2006/relationships/hyperlink" Target="https://shamela.ws/book/10432" TargetMode="External"/><Relationship Id="rId30" Type="http://schemas.openxmlformats.org/officeDocument/2006/relationships/hyperlink" Target="https://shamela.ws/book/6301" TargetMode="External"/><Relationship Id="rId31" Type="http://schemas.openxmlformats.org/officeDocument/2006/relationships/hyperlink" Target="https://nyupress.org/9780814763759/disagreements-of-the-jurists/" TargetMode="External"/><Relationship Id="rId32" Type="http://schemas.openxmlformats.org/officeDocument/2006/relationships/hyperlink" Target="https://www.jezaidia.com/books/book-detail/207" TargetMode="External"/><Relationship Id="rId33" Type="http://schemas.openxmlformats.org/officeDocument/2006/relationships/hyperlink" Target="https://ablibrary.net/book_content/b/5022/1?lang=en" TargetMode="External"/><Relationship Id="rId34" Type="http://schemas.openxmlformats.org/officeDocument/2006/relationships/hyperlink" Target="https://www.vhmml.org/readingRoom/view/145833" TargetMode="External"/><Relationship Id="rId35" Type="http://schemas.openxmlformats.org/officeDocument/2006/relationships/hyperlink" Target="https://tanzil.net/download/" TargetMode="External"/><Relationship Id="rId36" Type="http://schemas.openxmlformats.org/officeDocument/2006/relationships/hyperlink" Target="https://books.google.com/books/about/The_Arabic_Version_of_the_Nicomachean_Et.html?id=idA7EAAAQBAJ" TargetMode="External"/><Relationship Id="rId37" Type="http://schemas.openxmlformats.org/officeDocument/2006/relationships/hyperlink" Target="https://www.safahat.org/books/50926304/" TargetMode="External"/><Relationship Id="rId38" Type="http://schemas.openxmlformats.org/officeDocument/2006/relationships/hyperlink" Target="https://www.safahat.org/books/29061736/" TargetMode="External"/><Relationship Id="rId39" Type="http://schemas.openxmlformats.org/officeDocument/2006/relationships/hyperlink" Target="https://kalila-and-dimna.fu-berlin.de/" TargetMode="External"/><Relationship Id="rId40" Type="http://schemas.openxmlformats.org/officeDocument/2006/relationships/hyperlink" Target="https://catalog.hathitrust.org/Record/009030811" TargetMode="External"/><Relationship Id="rId41" Type="http://schemas.openxmlformats.org/officeDocument/2006/relationships/hyperlink" Target="https://isahlakidergisi.com/sayilar/1-cilt-2-sayi/b004" TargetMode="External"/><Relationship Id="rId42" Type="http://schemas.openxmlformats.org/officeDocument/2006/relationships/hyperlink" Target="https://collections.agakhanmuseum.org/collection/artifact/a-manuscript-of-the-ethics-of-nasir-akhlaq-i-nasiri-akm288" TargetMode="External"/><Relationship Id="rId43" Type="http://schemas.openxmlformats.org/officeDocument/2006/relationships/hyperlink" Target="https://shamela.ws/book/21608" TargetMode="External"/><Relationship Id="rId44" Type="http://schemas.openxmlformats.org/officeDocument/2006/relationships/hyperlink" Target="https://shamela.ws/book/282" TargetMode="External"/><Relationship Id="rId45" Type="http://schemas.openxmlformats.org/officeDocument/2006/relationships/hyperlink" Target="https://sites.dlib.nyu.edu/viewer/books/columbia_aco002220/1" TargetMode="External"/><Relationship Id="rId46" Type="http://schemas.openxmlformats.org/officeDocument/2006/relationships/hyperlink" Target="https://shamela.ws/book/9508" TargetMode="External"/><Relationship Id="rId47" Type="http://schemas.openxmlformats.org/officeDocument/2006/relationships/hyperlink" Target="https://kazanicons.ru/news/2023-04-18-kabus-name/" TargetMode="External"/><Relationship Id="rId48" Type="http://schemas.openxmlformats.org/officeDocument/2006/relationships/hyperlink" Target="https://www.klinebooks.com/pages/books/52186/joep-lameer/the-arabic-version-of-usis-nasirean-ethics-with-an-introduction-and-explanatory-notes" TargetMode="External"/><Relationship Id="rId49" Type="http://schemas.openxmlformats.org/officeDocument/2006/relationships/hyperlink" Target="https://nyupress.org/9781479855445/the-epistle-on-legal-theory/" TargetMode="External"/><Relationship Id="rId50" Type="http://schemas.openxmlformats.org/officeDocument/2006/relationships/hyperlink" Target="https://aco.dlib.nyu.edu/book/columbia_aco000826/1" TargetMode="External"/><Relationship Id="rId51" Type="http://schemas.openxmlformats.org/officeDocument/2006/relationships/hyperlink" Target="https://aco.dlib.nyu.edu/book/columbia_aco001508/1" TargetMode="External"/><Relationship Id="rId52" Type="http://schemas.openxmlformats.org/officeDocument/2006/relationships/hyperlink" Target="https://github.com/OpenITI/0225AH/blob/master/data/0204Shafici/0204Shafici.Risala/0204Shafici.Risala.LAL2013020402-ara2" TargetMode="External"/><Relationship Id="rId53" Type="http://schemas.openxmlformats.org/officeDocument/2006/relationships/hyperlink" Target="https://www.cambridge.org/core/books/abs/islamic-law-in-context/islamic-legal-theory-usul-alfiqh-and-related-genres/D3B000A175C28B71C3E91D2BE6587AE9" TargetMode="External"/><Relationship Id="rId54" Type="http://schemas.openxmlformats.org/officeDocument/2006/relationships/hyperlink" Target="https://sites.dlib.nyu.edu/viewer/books/auc_aco000027/1" TargetMode="External"/><Relationship Id="rId55" Type="http://schemas.openxmlformats.org/officeDocument/2006/relationships/hyperlink" Target="https://www.safahat.org/books/96474972/" TargetMode="External"/><Relationship Id="rId56" Type="http://schemas.openxmlformats.org/officeDocument/2006/relationships/hyperlink" Target="https://catalog.hathitrust.org/Record/001396941" TargetMode="External"/><Relationship Id="rId57" Type="http://schemas.openxmlformats.org/officeDocument/2006/relationships/hyperlink" Target="https://www.safahat.org/books/48375831/" TargetMode="External"/><Relationship Id="rId58" Type="http://schemas.openxmlformats.org/officeDocument/2006/relationships/hyperlink" Target="https://sites.dlib.nyu.edu/viewer/books/princeton_aco004135/1" TargetMode="External"/><Relationship Id="rId59" Type="http://schemas.openxmlformats.org/officeDocument/2006/relationships/hyperlink" Target="https://sites.dlib.nyu.edu/viewer/books/columbia_aco003302/display?lang=en" TargetMode="External"/><Relationship Id="rId60" Type="http://schemas.openxmlformats.org/officeDocument/2006/relationships/hyperlink" Target="https://www.garnetpublishing.co.uk/product/the-ordinances-of-government-al-ahkam-as-sultaniyyah-wat-wilayat-al-dinniyya/" TargetMode="External"/><Relationship Id="rId61" Type="http://schemas.openxmlformats.org/officeDocument/2006/relationships/hyperlink" Target="https://shamela.ws/book/7239" TargetMode="External"/><Relationship Id="rId62" Type="http://schemas.openxmlformats.org/officeDocument/2006/relationships/hyperlink" Target="https://shamela.ws/book/765" TargetMode="External"/><Relationship Id="rId63" Type="http://schemas.openxmlformats.org/officeDocument/2006/relationships/hyperlink" Target="https://www.safahat.org/books/84694028/" TargetMode="External"/><Relationship Id="rId64" Type="http://schemas.openxmlformats.org/officeDocument/2006/relationships/hyperlink" Target="https://digital.bodleian.ox.ac.uk/objects/8face4cc-d7dc-4ec6-8315-64b8c171dd76/" TargetMode="External"/><Relationship Id="rId65" Type="http://schemas.openxmlformats.org/officeDocument/2006/relationships/hyperlink" Target="https://ganjoor.net/keikavus/ghaboosname" TargetMode="External"/><Relationship Id="rId66" Type="http://schemas.openxmlformats.org/officeDocument/2006/relationships/hyperlink" Target="https://catalog.hathitrust.org/Record/001669606" TargetMode="External"/><Relationship Id="rId67" Type="http://schemas.openxmlformats.org/officeDocument/2006/relationships/hyperlink" Target="https://books.google.com/books/about/&#1057;&#1080;&#1072;&#1089;&#1077;&#1090;_&#1085;&#1072;&#1084;&#1077;.html?id=yroU0AEACAAJ" TargetMode="External"/><Relationship Id="rId68" Type="http://schemas.openxmlformats.org/officeDocument/2006/relationships/hyperlink" Target="https://ganjoor.net/khajenasir/akhlagh" TargetMode="External"/><Relationship Id="rId69" Type="http://schemas.openxmlformats.org/officeDocument/2006/relationships/hyperlink" Target="https://books.google.com/books/about/The_Nasirean_Ethics.html?id=pzv-xqd4kA4C" TargetMode="External"/><Relationship Id="rId70" Type="http://schemas.openxmlformats.org/officeDocument/2006/relationships/hyperlink" Target="https://archive.org/details/in.ernet.dli.2015.484922" TargetMode="External"/><Relationship Id="rId71" Type="http://schemas.openxmlformats.org/officeDocument/2006/relationships/hyperlink" Target="https://github.com/OpenITI/0525AH/blob/master/data/0505Ghazali/0505Ghazali.IhyaCulumDin/0505Ghazali.IhyaCulumDin.Shamela0009472-ara1.completed" TargetMode="External"/><Relationship Id="rId72" Type="http://schemas.openxmlformats.org/officeDocument/2006/relationships/hyperlink" Target="https://shamela.ws/book/9472" TargetMode="External"/><Relationship Id="rId73" Type="http://schemas.openxmlformats.org/officeDocument/2006/relationships/hyperlink" Target="https://www.ua92-aspire.co.uk/product/9781911141358/al-ghazali-on-disciplining-soul-on-breaking-two-desires-books-xxii-xxiii-of-the-end" TargetMode="External"/><Relationship Id="rId74" Type="http://schemas.openxmlformats.org/officeDocument/2006/relationships/hyperlink" Target="https://shamela.ws/book/305" TargetMode="External"/><Relationship Id="rId75" Type="http://schemas.openxmlformats.org/officeDocument/2006/relationships/hyperlink" Target="https://shamela.ws/book/31237" TargetMode="External"/><Relationship Id="rId76" Type="http://schemas.openxmlformats.org/officeDocument/2006/relationships/hyperlink" Target="https://www.kubepublishing.com/products/public-duties-in-islam-1" TargetMode="External"/><Relationship Id="rId77" Type="http://schemas.openxmlformats.org/officeDocument/2006/relationships/hyperlink" Target="https://openlibrary.org/books/OL3115038M/Public_duties_in_Islam" TargetMode="External"/><Relationship Id="rId78" Type="http://schemas.openxmlformats.org/officeDocument/2006/relationships/hyperlink" Target="https://www.garnetpublishing.co.uk/product/the-reconciliation-of-the-fundamentals-of-islamic-law-vol-1/" TargetMode="External"/><Relationship Id="rId79" Type="http://schemas.openxmlformats.org/officeDocument/2006/relationships/hyperlink" Target="https://www.garnetpublishing.co.uk/product/the-reconciliation-of-the-fundamentals-of-islamic-law-vol-2/" TargetMode="External"/><Relationship Id="rId80" Type="http://schemas.openxmlformats.org/officeDocument/2006/relationships/hyperlink" Target="https://hmml.org/research/zmt/" TargetMode="External"/><Relationship Id="rId81" Type="http://schemas.openxmlformats.org/officeDocument/2006/relationships/hyperlink" Target="https://zenodo.org/records/17767721" TargetMode="External"/><Relationship Id="rId82" Type="http://schemas.openxmlformats.org/officeDocument/2006/relationships/hyperlink" Target="https://openiti.org/documentation/#how-can-i-use-openiti-what-license-is-used" TargetMode="External"/><Relationship Id="rId83" Type="http://schemas.openxmlformats.org/officeDocument/2006/relationships/hyperlink" Target="https://agakhanmuseum.org/copyright-policy/" TargetMode="External"/><Relationship Id="rId84" Type="http://schemas.openxmlformats.org/officeDocument/2006/relationships/hyperlink" Target="https://tanzil.net/docs/text_license" TargetMode="External"/><Relationship Id="rId85" Type="http://schemas.openxmlformats.org/officeDocument/2006/relationships/hyperlink" Target="https://www.cambridge.org/core/books/abs/medieval-muslim-mirrors-for-princes/texts-and-authors/82FEBD66208B35BBE4CFD6961A66C40D" TargetMode="External"/><Relationship Id="rId86" Type="http://schemas.openxmlformats.org/officeDocument/2006/relationships/hyperlink" Target="https://kitab-project.org/OpenITI-Release-version-2025-1-9/" TargetMode="External"/><Relationship Id="rId87" Type="http://schemas.openxmlformats.org/officeDocument/2006/relationships/hyperlink" Target="https://www.nlm.nih.gov/hmd/arabic/physiognomy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T2-15</dc:title>
  <dc:subject>Исламская философия права, этики и адаба — доступ, версии и права</dc:subject>
  <dc:creator>ToS / Древо Софии</dc:creator>
  <cp:keywords>T2-15, corpus, rights, usul al-fiqh, adab, akhlaq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