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</w:t>
        <w:br/>
        <w:t>Registry</w:t>
      </w:r>
    </w:p>
    <w:p>
      <w:pPr>
        <w:pStyle w:val="Subtitle"/>
      </w:pPr>
      <w:r>
        <w:t>T2-03 · Поздневизантийский узел</w:t>
        <w:br/>
        <w:t>от Пселла до паламитских и гуманистических переходов</w:t>
      </w:r>
    </w:p>
    <w:p>
      <w:pPr>
        <w:pStyle w:val="Caption"/>
        <w:spacing w:before="80"/>
      </w:pPr>
      <w:r>
        <w:t>Исследовательский пакет • protocol v4.3.1 • проверка 4 сентября 2026 года</w:t>
      </w:r>
    </w:p>
    <w:p>
      <w:pPr>
        <w:pStyle w:val="Heading1"/>
      </w:pPr>
      <w:r>
        <w:t>1. Паспорт</w:t>
      </w:r>
    </w:p>
    <w:p>
      <w:r>
        <w:rPr>
          <w:b/>
        </w:rPr>
        <w:t xml:space="preserve">Мастер-строка. </w:t>
      </w:r>
      <w:r>
        <w:t>Таблица II, T2-03, исходный статус A, историческая уверенность DR 4/5. Формирование: XI–XIV вв.; письменная фиксация и передача: XI–XV вв.; канонизация и комментарий: XIII–XV вв. Эти параметры сохранены, а не переопределены исследованием доступа.</w:t>
      </w:r>
    </w:p>
    <w:p>
      <w:r>
        <w:rPr>
          <w:b/>
        </w:rPr>
        <w:t xml:space="preserve">Исходный документ. </w:t>
      </w:r>
      <w:r>
        <w:t>ToS Deep Research_ T2-03 — Поздневизантийский узел от Пселла до паламитских и гуманистических перехо(1).docx</w:t>
      </w:r>
    </w:p>
    <w:p>
      <w:r>
        <w:t>Исходный DR использован как карта произведений и линий передачи. Его исторические формулировки не переписывались; вложенные предложения о графах, YAML и задачах Codex не выполнялись. Основой инвентаризации были паспорт, таблицы первичных корпусов, разделы трансмиссии и рукописных свидетелей.</w:t>
      </w:r>
    </w:p>
    <w:p>
      <w:r>
        <w:rPr>
          <w:b/>
        </w:rPr>
        <w:t xml:space="preserve">Ядро. </w:t>
      </w:r>
      <w:r>
        <w:t>Философские тексты Пселла и Итала; Евстратий и Михаил Эфесский; школьные компендиумы Влеммида и Пахимера; Метохит и Григора; Палама и его оппоненты; греческие переводы латинской философии; Плифон, Схоларий и Виссарион. Эпиграфика и нерасшифрованные письменности не относятся к задачам этого узла.</w:t>
      </w:r>
    </w:p>
    <w:p>
      <w:r>
        <w:rPr>
          <w:b/>
        </w:rPr>
        <w:t xml:space="preserve">Поиск и источники. </w:t>
      </w:r>
      <w:r>
        <w:t>Использованы русский, английский, греческие формы имён и заглавий, латинские названия, французский, немецкий и итальянский. Искались произведения, редакции, переводы, печатные тома, рукописи, факсимиле и текстовые пакеты. Доступ проверялся по издателям, библиотекам, академическим репозиториям, специализированным библиотекам и официальным репозиториям данных.</w:t>
      </w:r>
    </w:p>
    <w:p>
      <w:r>
        <w:rPr>
          <w:b/>
        </w:rPr>
        <w:t xml:space="preserve">Доказательства. </w:t>
      </w:r>
      <w:r>
        <w:t>Идентификация опирается на каталоги, издательские карточки и специализированную академическую библиографию; права — на заявления конкретного объекта, лицензии проекта и применимые условия учреждения. Открытая выдача поисковика не приравнивалась к проверке файла.</w:t>
      </w:r>
    </w:p>
    <w:p>
      <w:pPr>
        <w:pStyle w:val="Caption"/>
        <w:spacing w:before="80"/>
      </w:pPr>
      <w:r>
        <w:t>Как читать пакет: R001 означает T2-03-R001 на листе registry; G001 — T2-03-G001 на листе gaps. Ссылки R… в отчёте ведут к источникам доступа. Полные URL доказательств прав и оговорки находятся в XLSX. Высокая rights_confidence может означать уверенно установленные ограничения, а не свободу использования.</w:t>
      </w:r>
    </w:p>
    <w:p>
      <w:r>
        <w:br w:type="page"/>
      </w:r>
    </w:p>
    <w:p>
      <w:pPr>
        <w:pStyle w:val="Heading1"/>
      </w:pPr>
      <w:r>
        <w:t>2. Охват корпуса</w:t>
      </w:r>
    </w:p>
    <w:p>
      <w:r>
        <w:t>Структура покрытия следует нескольким самостоятельным текстовым семьям из DR. Ни наличие полного корпуса у одного автора, ни один цифровой том CAG не используются как доказательство доступности всей поздневизантийской философии.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912"/>
      </w:tblGrid>
      <w:tr>
        <w:trPr>
          <w:cantSplit/>
          <w:tblHeader/>
        </w:trPr>
        <w:tc>
          <w:tcPr>
            <w:tcW w:type="dxa" w:w="1871"/>
            <w:vAlign w:val="top"/>
            <w:shd w:fill="193B4A"/>
          </w:tcPr>
          <w:p>
            <w:pPr>
              <w:spacing w:after="100" w:before="100" w:line="252" w:lineRule="auto"/>
            </w:pPr>
            <w:r>
              <w:rPr>
                <w:b/>
                <w:color w:val="FFFFFF"/>
                <w:sz w:val="19"/>
              </w:rPr>
              <w:t>Семья из исходного DR</w:t>
            </w:r>
          </w:p>
        </w:tc>
        <w:tc>
          <w:tcPr>
            <w:tcW w:type="dxa" w:w="3969"/>
            <w:vAlign w:val="top"/>
            <w:shd w:fill="193B4A"/>
          </w:tcPr>
          <w:p>
            <w:pPr>
              <w:spacing w:after="100" w:before="100" w:line="252" w:lineRule="auto"/>
            </w:pPr>
            <w:r>
              <w:rPr>
                <w:b/>
                <w:color w:val="FFFFFF"/>
                <w:sz w:val="19"/>
              </w:rPr>
              <w:t>Что вошло в registry</w:t>
            </w:r>
          </w:p>
        </w:tc>
        <w:tc>
          <w:tcPr>
            <w:tcW w:type="dxa" w:w="3912"/>
            <w:vAlign w:val="top"/>
            <w:shd w:fill="193B4A"/>
          </w:tcPr>
          <w:p>
            <w:pPr>
              <w:spacing w:after="100" w:before="100" w:line="252" w:lineRule="auto"/>
            </w:pPr>
            <w:r>
              <w:rPr>
                <w:b/>
                <w:color w:val="FFFFFF"/>
                <w:sz w:val="19"/>
              </w:rPr>
              <w:t>Что остаётся пробелом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Пселл и Итал</w:t>
            </w:r>
          </w:p>
        </w:tc>
        <w:tc>
          <w:tcPr>
            <w:tcW w:type="dxa" w:w="3969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De omnifaria doctrina; Philosophica minora; Epistulae; QQ и Opera; письма и рукописный свидетель; старое De operatione daemonum</w:t>
            </w:r>
          </w:p>
        </w:tc>
        <w:tc>
          <w:tcPr>
            <w:tcW w:type="dxa" w:w="3912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Полные оригиналы DOD и QQ; парафразы Organon; отдельные логические сочинения и атрибуции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Евстратий и Михаил Эфесский</w:t>
            </w:r>
          </w:p>
        </w:tc>
        <w:tc>
          <w:tcPr>
            <w:tcW w:type="dxa" w:w="3969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CAG XX; комментарий к APo II; современные переводы этических комментариев; First1KGreek; латинская передача Гроссетеста</w:t>
            </w:r>
          </w:p>
        </w:tc>
        <w:tc>
          <w:tcPr>
            <w:tcW w:type="dxa" w:w="3912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Отдельные зоологические и псевдоэпиграфические комментарии; Politics; права и состав отдельных XML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Палеологовская учёность</w:t>
            </w:r>
          </w:p>
        </w:tc>
        <w:tc>
          <w:tcPr>
            <w:tcW w:type="dxa" w:w="3969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Пахимер: самостоятельный комментарий к Ethics и комментарий к Meteorologica; 54 эссе Метохита; Phlorentius, письма и том истории Григоры</w:t>
            </w:r>
          </w:p>
        </w:tc>
        <w:tc>
          <w:tcPr>
            <w:tcW w:type="dxa" w:w="3912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Влеммид: полные Epitomae; Philosophia и Quadrivium Пахимера; остальные эссе Метохита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Паламитский спор</w:t>
            </w:r>
          </w:p>
        </w:tc>
        <w:tc>
          <w:tcPr>
            <w:tcW w:type="dxa" w:w="3969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Триады; 150 глав; Святогорский томос; Антирретики; диалог и письмо; омилии; Акиндин; письма и Ethica Варлаама; Синодик</w:t>
            </w:r>
          </w:p>
        </w:tc>
        <w:tc>
          <w:tcPr>
            <w:tcW w:type="dxa" w:w="3912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Точная синоптическая редакция письма; томосы 1341, 1347 и 1351; ряд антипаламитских произведений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Греко-латинская передача</w:t>
            </w:r>
          </w:p>
        </w:tc>
        <w:tc>
          <w:tcPr>
            <w:tcW w:type="dxa" w:w="3969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Две греческие версии De rationibus fidei; латинские комментарии к Ethics; Pal.gr.235; Схоларий VIII</w:t>
            </w:r>
          </w:p>
        </w:tc>
        <w:tc>
          <w:tcPr>
            <w:tcW w:type="dxa" w:w="3912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Полные линии Плануда, Оловола, Калекаса и греческих Сумм Аквината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Плифон и Виссарион</w:t>
            </w:r>
          </w:p>
        </w:tc>
        <w:tc>
          <w:tcPr>
            <w:tcW w:type="dxa" w:w="3969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De differentiis; De virtutibus; редакция Халдейских оракулов; инкунабула In calumniatorem Platonis</w:t>
            </w:r>
          </w:p>
        </w:tc>
        <w:tc>
          <w:tcPr>
            <w:tcW w:type="dxa" w:w="3912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Nomoi; греческий De differentiis; ответ Схоларию; сопоставление поздних критических изданий Виссариона</w:t>
            </w:r>
          </w:p>
        </w:tc>
      </w:tr>
    </w:tbl>
    <w:p>
      <w:r>
        <w:t>Существенные добавления веб-поиска: открытый двуязычный Пахимер 2022 года; полные двуязычные «Триады» 2025 года; два тома Метохита с NC/ND-лицензией; First1KGreek; институциональный скан CAG XX; греческие версии De rationibus fidei в издании 2025 года; латинская «Этика согласно стоикам» Варлаама; старое De operatione daemonum с Public Domain Mark. Это разные виды расширения: новые произведения, новые версии либо более пригодные способы доступа.</w:t>
      </w:r>
      <w:r>
        <w:t xml:space="preserve"> </w:t>
      </w:r>
      <w:hyperlink r:id="rId11">
        <w:r>
          <w:rPr>
            <w:color w:val="21666A"/>
            <w:u w:val="single"/>
          </w:rPr>
          <w:t>[R001]</w:t>
        </w:r>
      </w:hyperlink>
      <w:r>
        <w:t xml:space="preserve">; </w:t>
      </w:r>
      <w:hyperlink r:id="rId12">
        <w:r>
          <w:rPr>
            <w:color w:val="21666A"/>
            <w:u w:val="single"/>
          </w:rPr>
          <w:t>[R008]</w:t>
        </w:r>
      </w:hyperlink>
      <w:r>
        <w:t xml:space="preserve">; </w:t>
      </w:r>
      <w:hyperlink r:id="rId13">
        <w:r>
          <w:rPr>
            <w:color w:val="21666A"/>
            <w:u w:val="single"/>
          </w:rPr>
          <w:t>[R012]</w:t>
        </w:r>
      </w:hyperlink>
      <w:r>
        <w:t xml:space="preserve">; </w:t>
      </w:r>
      <w:hyperlink r:id="rId14">
        <w:r>
          <w:rPr>
            <w:color w:val="21666A"/>
            <w:u w:val="single"/>
          </w:rPr>
          <w:t>[R013]</w:t>
        </w:r>
      </w:hyperlink>
      <w:r>
        <w:t xml:space="preserve">; </w:t>
      </w:r>
      <w:hyperlink r:id="rId15">
        <w:r>
          <w:rPr>
            <w:color w:val="21666A"/>
            <w:u w:val="single"/>
          </w:rPr>
          <w:t>[R020]</w:t>
        </w:r>
      </w:hyperlink>
      <w:r>
        <w:t xml:space="preserve">; </w:t>
      </w:r>
      <w:hyperlink r:id="rId16">
        <w:r>
          <w:rPr>
            <w:color w:val="21666A"/>
            <w:u w:val="single"/>
          </w:rPr>
          <w:t>[R025]</w:t>
        </w:r>
      </w:hyperlink>
      <w:r>
        <w:t xml:space="preserve">; </w:t>
      </w:r>
      <w:hyperlink r:id="rId17">
        <w:r>
          <w:rPr>
            <w:color w:val="21666A"/>
            <w:u w:val="single"/>
          </w:rPr>
          <w:t>[R049]</w:t>
        </w:r>
      </w:hyperlink>
      <w:r>
        <w:t xml:space="preserve">; </w:t>
      </w:r>
      <w:hyperlink r:id="rId18">
        <w:r>
          <w:rPr>
            <w:color w:val="21666A"/>
            <w:u w:val="single"/>
          </w:rPr>
          <w:t>[R051]</w:t>
        </w:r>
      </w:hyperlink>
      <w:r>
        <w:t xml:space="preserve">; </w:t>
      </w:r>
      <w:hyperlink r:id="rId19">
        <w:r>
          <w:rPr>
            <w:color w:val="21666A"/>
            <w:u w:val="single"/>
          </w:rPr>
          <w:t>[R054]</w:t>
        </w:r>
      </w:hyperlink>
    </w:p>
    <w:p>
      <w:pPr>
        <w:pStyle w:val="Caption"/>
        <w:spacing w:before="80"/>
      </w:pPr>
      <w:r>
        <w:t>Таблица — карта покрытия, не перечень доказанных полных текстов. Например, R014 является страницей проекта по Влеммиду, а R057 — каталожной записью Синодика; они не закрывают соответствующие полнотекстовые пробелы.</w:t>
      </w:r>
    </w:p>
    <w:p>
      <w:r>
        <w:br w:type="page"/>
      </w:r>
    </w:p>
    <w:p>
      <w:pPr>
        <w:pStyle w:val="Heading2"/>
      </w:pPr>
      <w:r>
        <w:t>Охват: хронологическое расширение</w:t>
      </w:r>
    </w:p>
    <w:p>
      <w:r>
        <w:rPr>
          <w:b/>
        </w:rPr>
        <w:t xml:space="preserve">Назад: комментируемые тексты и модели. </w:t>
      </w:r>
      <w:r>
        <w:t>Аристотелева «Никомахова этика» включена как непосредственный предмет комментариев; Аспасий — как предшествующий член той же комментаторской семьи. «Первоосновы теологии» Прокла — не просто сходная философия, а прямой объект опровержения Николая Мефонского и источник неоплатонической линии, выделенной DR. Дамаскинов «Источник знания», включающий «Диалектику», служит конкретным ранневизантийским фоном школьной логики.</w:t>
      </w:r>
      <w:r>
        <w:t xml:space="preserve"> </w:t>
      </w:r>
      <w:hyperlink r:id="rId20">
        <w:r>
          <w:rPr>
            <w:color w:val="21666A"/>
            <w:u w:val="single"/>
          </w:rPr>
          <w:t>[R017]</w:t>
        </w:r>
      </w:hyperlink>
      <w:r>
        <w:t xml:space="preserve">; </w:t>
      </w:r>
      <w:hyperlink r:id="rId21">
        <w:r>
          <w:rPr>
            <w:color w:val="21666A"/>
            <w:u w:val="single"/>
          </w:rPr>
          <w:t>[R042]</w:t>
        </w:r>
      </w:hyperlink>
      <w:r>
        <w:t xml:space="preserve">; </w:t>
      </w:r>
      <w:hyperlink r:id="rId22">
        <w:r>
          <w:rPr>
            <w:color w:val="21666A"/>
            <w:u w:val="single"/>
          </w:rPr>
          <w:t>[R043]</w:t>
        </w:r>
      </w:hyperlink>
      <w:r>
        <w:t xml:space="preserve">; </w:t>
      </w:r>
      <w:hyperlink r:id="rId23">
        <w:r>
          <w:rPr>
            <w:color w:val="21666A"/>
            <w:u w:val="single"/>
          </w:rPr>
          <w:t>[R055]</w:t>
        </w:r>
      </w:hyperlink>
      <w:r>
        <w:t xml:space="preserve">; </w:t>
      </w:r>
      <w:hyperlink r:id="rId24">
        <w:r>
          <w:rPr>
            <w:color w:val="21666A"/>
            <w:u w:val="single"/>
          </w:rPr>
          <w:t>[R056]</w:t>
        </w:r>
      </w:hyperlink>
    </w:p>
    <w:p>
      <w:r>
        <w:t>«Утешение философией» Боэция включено из-за греческой переводной линии Плануда, названной в DR. Найденный старый английский перевод не подменяет греческую версию Плануда: её поиск сохранён отдельно. Плотин, Порфирий, Филопон и предполагаемые переработки Прокла у Исаака Севастократора не объявлены покрытыми на основании общего упоминания; конкретные тексты и входы остаются в G041–G044.</w:t>
      </w:r>
      <w:r>
        <w:t xml:space="preserve"> </w:t>
      </w:r>
      <w:hyperlink r:id="rId25">
        <w:r>
          <w:rPr>
            <w:color w:val="21666A"/>
            <w:u w:val="single"/>
          </w:rPr>
          <w:t>[R044]</w:t>
        </w:r>
      </w:hyperlink>
    </w:p>
    <w:p>
      <w:r>
        <w:rPr>
          <w:b/>
        </w:rPr>
        <w:t xml:space="preserve">Вперёд: реальная передача за пределы XI–XV вв. </w:t>
      </w:r>
      <w:r>
        <w:t>«Филокалия» 1782 года представлена поздним английским томом IV, а славянский перевод Паламы — цифровым входом к рукописи 1808 года. Их связь со строкой состоит в сохранении и переупорядочении паламитских текстов. Эти записи не расширяют историческую дату создания самих сочинений и не дают полного доступа ко всей Филокалии или славянскому корпусу.</w:t>
      </w:r>
      <w:r>
        <w:t xml:space="preserve"> </w:t>
      </w:r>
      <w:hyperlink r:id="rId26">
        <w:r>
          <w:rPr>
            <w:color w:val="21666A"/>
            <w:u w:val="single"/>
          </w:rPr>
          <w:t>[R033]</w:t>
        </w:r>
      </w:hyperlink>
      <w:r>
        <w:t xml:space="preserve">; </w:t>
      </w:r>
      <w:hyperlink r:id="rId27">
        <w:r>
          <w:rPr>
            <w:color w:val="21666A"/>
            <w:u w:val="single"/>
          </w:rPr>
          <w:t>[R052]</w:t>
        </w:r>
      </w:hyperlink>
    </w:p>
    <w:p>
      <w:r>
        <w:t>Латинский перевод Гроссетеста XIII века и Виссарионова инкунабула 1469 года — тоже каналы передачи, но они находятся внутри письменного контура мастер-строки, а не автоматически «за её пределами». Современные критические издания и переводы учитываются как поздние слои доступа. Предполагаемые свидетели XVI–XVIII вв., греческая Филокалия 1782 и «Добротолюбие» 1793 получили отдельные пробелы, когда конкретный объект или его состав не удалось проверить.</w:t>
      </w:r>
      <w:r>
        <w:t xml:space="preserve"> </w:t>
      </w:r>
      <w:hyperlink r:id="rId28">
        <w:r>
          <w:rPr>
            <w:color w:val="21666A"/>
            <w:u w:val="single"/>
          </w:rPr>
          <w:t>[R018]</w:t>
        </w:r>
      </w:hyperlink>
      <w:r>
        <w:t xml:space="preserve">; </w:t>
      </w:r>
      <w:hyperlink r:id="rId29">
        <w:r>
          <w:rPr>
            <w:color w:val="21666A"/>
            <w:u w:val="single"/>
          </w:rPr>
          <w:t>[R040]</w:t>
        </w:r>
      </w:hyperlink>
      <w:r>
        <w:t xml:space="preserve">; </w:t>
      </w:r>
      <w:hyperlink r:id="rId30">
        <w:r>
          <w:rPr>
            <w:color w:val="21666A"/>
            <w:u w:val="single"/>
          </w:rPr>
          <w:t>[R041]</w:t>
        </w:r>
      </w:hyperlink>
    </w:p>
    <w:p>
      <w:pPr>
        <w:pStyle w:val="Heading2"/>
      </w:pPr>
      <w:r>
        <w:t>Релевантность и количество</w:t>
      </w:r>
    </w:p>
    <w:p>
      <w:r>
        <w:t>В registry — 57 практически различимых путей доступа. По укрупнённой оценке они относятся примерно к 40 произведениям и авторским корпусам: варианты перевода, части переписки и тома одной серии не считаются отдельными произведениями автоматически. Точную глобальную дедупликацию этот пакет не выполняет. Два текстовых пакета также не превращены в десятки записей по числу внутренних XML.</w:t>
      </w:r>
    </w:p>
    <w:p>
      <w:r>
        <w:t>По меткам строк: core — 29; same_corpus_or_tradition — 8; antecedent — 5; transmission_or_preservation — 9; commentary_or_reception — 2; supporting — 1; infrastructure — 2; secondary_navigation — 1. Это числа способов доступа, не произведений. Отдельные записи continuation и boundary не добавлялись ради симметрии классификации: ряд кандидатов продолжения сохранён в gaps.</w:t>
      </w:r>
    </w:p>
    <w:p>
      <w:r>
        <w:t>На листе gaps — 51 задача. Среди них есть недостающие произведения, неполные корпуса, атрибуционные вопросы, неоднозначные лицензии и технически неоткрытые файлы; это не 51 отсутствующее или утраченное произведение. Шесть записей имеют статус unverified_candidate.</w:t>
      </w:r>
    </w:p>
    <w:p>
      <w:pPr>
        <w:pStyle w:val="Caption"/>
        <w:spacing w:before="80"/>
      </w:pPr>
      <w:r>
        <w:t>Ореол ограничен доказуемыми текстовыми отношениями. В реестр не включались произвольные произведения всей православной, античной или ренессансной культуры лишь по тематическому сходству.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Пселл и Итал: оригиналы, письма, школьная философия</w:t>
      </w:r>
    </w:p>
    <w:p>
      <w:r>
        <w:t>Для De omnifaria doctrina найден библиографический/частичный вход к изданию Westerink 1948; для Philosophica minora — каталог и интерфейс Open Library с вариантами preview/borrow. Для Epistulae Papaioannou 2019 сохранён издательский DOI, но страница не была полноценно извлечена инструментом. Нельзя считать эти три маршрута бесплатным полным собранием философских текстов Пселла.</w:t>
      </w:r>
      <w:r>
        <w:t xml:space="preserve"> </w:t>
      </w:r>
      <w:hyperlink r:id="rId31">
        <w:r>
          <w:rPr>
            <w:color w:val="21666A"/>
            <w:u w:val="single"/>
          </w:rPr>
          <w:t>[R002]</w:t>
        </w:r>
      </w:hyperlink>
      <w:r>
        <w:t xml:space="preserve">; </w:t>
      </w:r>
      <w:hyperlink r:id="rId32">
        <w:r>
          <w:rPr>
            <w:color w:val="21666A"/>
            <w:u w:val="single"/>
          </w:rPr>
          <w:t>[R003]</w:t>
        </w:r>
      </w:hyperlink>
      <w:r>
        <w:t xml:space="preserve">; </w:t>
      </w:r>
      <w:hyperlink r:id="rId33">
        <w:r>
          <w:rPr>
            <w:color w:val="21666A"/>
            <w:u w:val="single"/>
          </w:rPr>
          <w:t>[R004]</w:t>
        </w:r>
      </w:hyperlink>
      <w:r>
        <w:t xml:space="preserve">; </w:t>
      </w:r>
      <w:hyperlink r:id="rId34">
        <w:r>
          <w:rPr>
            <w:color w:val="21666A"/>
            <w:u w:val="single"/>
          </w:rPr>
          <w:t>[R006]</w:t>
        </w:r>
      </w:hyperlink>
    </w:p>
    <w:p>
      <w:r>
        <w:t>Лучший проверенный рукописный вход к письмам и речам — Barb.gr.240 в DigiVatLib. Это один кодекс с собственным составом, не электронное издание всей переписки. Отдельное письмо Михаилу Керуларию доступно через научное издание Criscuolo 1991 у Bibliopolis. Авторские и редакторские слои различаются; права ватиканских изображений ограничены.</w:t>
      </w:r>
      <w:r>
        <w:t xml:space="preserve"> </w:t>
      </w:r>
      <w:hyperlink r:id="rId35">
        <w:r>
          <w:rPr>
            <w:color w:val="21666A"/>
            <w:u w:val="single"/>
          </w:rPr>
          <w:t>[R005]</w:t>
        </w:r>
      </w:hyperlink>
      <w:r>
        <w:t xml:space="preserve">; </w:t>
      </w:r>
      <w:hyperlink r:id="rId36">
        <w:r>
          <w:rPr>
            <w:color w:val="21666A"/>
            <w:u w:val="single"/>
          </w:rPr>
          <w:t>[R047]</w:t>
        </w:r>
      </w:hyperlink>
    </w:p>
    <w:p>
      <w:r>
        <w:t>Самый свободный найденный старый печатный объект этого круга — De operatione daemonum, издание 1838 года из Wellcome. Институциональная карточка содержит Public Domain Mark. Его полезно рассматривать как факсимиле исторического греческого текста для OCR и возможного собственного перевода, но не как бесспорно атрибутированное сочинение Пселла. Современную атрибуционную проблему нельзя решить заглавием старого издания.</w:t>
      </w:r>
      <w:r>
        <w:t xml:space="preserve"> </w:t>
      </w:r>
      <w:hyperlink r:id="rId17">
        <w:r>
          <w:rPr>
            <w:color w:val="21666A"/>
            <w:u w:val="single"/>
          </w:rPr>
          <w:t>[R049]</w:t>
        </w:r>
      </w:hyperlink>
    </w:p>
    <w:p>
      <w:r>
        <w:t>Для Итала подтверждены библиографические входы к Quaestiones quodlibetales и Opera 1966. Последнее издание помогает идентифицировать логические тексты, однако каталожная запись не доказывает доступность их полного цифрового текста. Полный греческий оригинал QQ, De dialectica, De syllogismis и комментарий к Topics II–IV остаются приоритетом G005–G006.</w:t>
      </w:r>
      <w:r>
        <w:t xml:space="preserve"> </w:t>
      </w:r>
      <w:hyperlink r:id="rId37">
        <w:r>
          <w:rPr>
            <w:color w:val="21666A"/>
            <w:u w:val="single"/>
          </w:rPr>
          <w:t>[R007]</w:t>
        </w:r>
      </w:hyperlink>
      <w:r>
        <w:t xml:space="preserve">; </w:t>
      </w:r>
      <w:hyperlink r:id="rId38">
        <w:r>
          <w:rPr>
            <w:color w:val="21666A"/>
            <w:u w:val="single"/>
          </w:rPr>
          <w:t>[R045]</w:t>
        </w:r>
      </w:hyperlink>
    </w:p>
    <w:p>
      <w:pPr>
        <w:pStyle w:val="Heading2"/>
      </w:pPr>
      <w:r>
        <w:t>Аристотелевские комментарии</w:t>
      </w:r>
    </w:p>
    <w:p>
      <w:r>
        <w:t>Для бесплатного греческого чтения и скачивания наиболее практичен институциональный скан CAG XX (Heylbut, 1892) из библиотеки Торонтского университета на Internet Archive. Открыт также полный OCR. Это цельный печатный том с комментариями Евстратия, Михаила и анонимов, а не весь византийский CAG. Автоматический OCR сильно искажает греческий текст и не заменяет факсимиле или критическую редакцию.</w:t>
      </w:r>
      <w:r>
        <w:t xml:space="preserve"> </w:t>
      </w:r>
      <w:hyperlink r:id="rId18">
        <w:r>
          <w:rPr>
            <w:color w:val="21666A"/>
            <w:u w:val="single"/>
          </w:rPr>
          <w:t>[R051]</w:t>
        </w:r>
      </w:hyperlink>
    </w:p>
    <w:p>
      <w:r>
        <w:t>Для машинной обработки перспективнее First1KGreek: в проверенной выдаче релиза перечислены Евстратий к Ethics I, ряд комментариев Михаила Эфесского к малым естественнонаучным сочинениям и Ethics V, а также Софоний. Пакет имеет CC BY-SA 4.0, но перед импортом конкретного текста требуется сверить его teiHeader. Отдельный cag-dev сохранён как полезный XML-пакет с неустановленной лицензией; лицензию First1KGreek на него переносить нельзя.</w:t>
      </w:r>
      <w:r>
        <w:t xml:space="preserve"> </w:t>
      </w:r>
      <w:hyperlink r:id="rId39">
        <w:r>
          <w:rPr>
            <w:color w:val="21666A"/>
            <w:u w:val="single"/>
          </w:rPr>
          <w:t>[R011]</w:t>
        </w:r>
      </w:hyperlink>
      <w:r>
        <w:t xml:space="preserve">; </w:t>
      </w:r>
      <w:hyperlink r:id="rId16">
        <w:r>
          <w:rPr>
            <w:color w:val="21666A"/>
            <w:u w:val="single"/>
          </w:rPr>
          <w:t>[R025]</w:t>
        </w:r>
      </w:hyperlink>
    </w:p>
    <w:p>
      <w:r>
        <w:t>Для современного английского чтения комментариев Михаила к Ethics IX и X найдены издательские варианты Bloomsbury с покупкой, институциональным доступом и preview. Для Евстратия к Posterior Analytics II сохранён конкретный том CAG 21.1 с платным/институциональным входом. Это научно ценные маршруты, даже когда старый оригинал доступен свободнее.</w:t>
      </w:r>
      <w:r>
        <w:t xml:space="preserve"> </w:t>
      </w:r>
      <w:hyperlink r:id="rId40">
        <w:r>
          <w:rPr>
            <w:color w:val="21666A"/>
            <w:u w:val="single"/>
          </w:rPr>
          <w:t>[R015]</w:t>
        </w:r>
      </w:hyperlink>
      <w:r>
        <w:t xml:space="preserve">; </w:t>
      </w:r>
      <w:hyperlink r:id="rId41">
        <w:r>
          <w:rPr>
            <w:color w:val="21666A"/>
            <w:u w:val="single"/>
          </w:rPr>
          <w:t>[R016]</w:t>
        </w:r>
      </w:hyperlink>
      <w:r>
        <w:t xml:space="preserve">; </w:t>
      </w:r>
      <w:hyperlink r:id="rId42">
        <w:r>
          <w:rPr>
            <w:color w:val="21666A"/>
            <w:u w:val="single"/>
          </w:rPr>
          <w:t>[R022]</w:t>
        </w:r>
      </w:hyperlink>
    </w:p>
    <w:p>
      <w:pPr>
        <w:pStyle w:val="Caption"/>
        <w:spacing w:before="80"/>
      </w:pPr>
      <w:r>
        <w:t>Английская «Никомахова этика» Project Gutenberg полезна для ориентации в комментируемом произведении, но не является греческой основой собственного перевода комментариев и не заменяет их.</w:t>
      </w:r>
      <w:r>
        <w:t xml:space="preserve"> </w:t>
      </w:r>
      <w:hyperlink r:id="rId22">
        <w:r>
          <w:rPr>
            <w:color w:val="21666A"/>
            <w:u w:val="single"/>
          </w:rPr>
          <w:t>[R043]</w:t>
        </w:r>
      </w:hyperlink>
    </w:p>
    <w:p>
      <w:r>
        <w:br w:type="page"/>
      </w:r>
    </w:p>
    <w:p>
      <w:pPr>
        <w:pStyle w:val="Heading2"/>
      </w:pPr>
      <w:r>
        <w:t>Лучшие входы: учёность и паламитский спор</w:t>
      </w:r>
    </w:p>
    <w:p>
      <w:r>
        <w:rPr>
          <w:b/>
        </w:rPr>
        <w:t xml:space="preserve">Пахимер. </w:t>
      </w:r>
      <w:r>
        <w:t>Издание Xenophontos и Addey 2022 — лучший открытый современный вход: греческий текст и английский перевод самостоятельного комментария к «Никомаховой этике», в пределах опубликованных книг I–VI. CC BY 4.0 делает его наиболее удобным сочетанием научного качества, чтения и текстового повторного использования. Оно не тождественно XI книге Philosophia. Отдельный комментарий к Meteorologica доступен через издание Telelis 2013; Philosophia целиком, Quadrivium и спорно атрибутированный комментарий к Physics ещё не покрыты.</w:t>
      </w:r>
      <w:r>
        <w:t xml:space="preserve"> </w:t>
      </w:r>
      <w:hyperlink r:id="rId11">
        <w:r>
          <w:rPr>
            <w:color w:val="21666A"/>
            <w:u w:val="single"/>
          </w:rPr>
          <w:t>[R001]</w:t>
        </w:r>
      </w:hyperlink>
      <w:r>
        <w:t xml:space="preserve">; </w:t>
      </w:r>
      <w:hyperlink r:id="rId43">
        <w:r>
          <w:rPr>
            <w:color w:val="21666A"/>
            <w:u w:val="single"/>
          </w:rPr>
          <w:t>[R023]</w:t>
        </w:r>
      </w:hyperlink>
    </w:p>
    <w:p>
      <w:r>
        <w:rPr>
          <w:b/>
        </w:rPr>
        <w:t xml:space="preserve">Метохит. </w:t>
      </w:r>
      <w:r>
        <w:t>Два открытых тома дают главы 27–60 и 61–70, 72–81 Semeioseis gnomikai: всего 54 из 120 эссе. Это греческие критические тексты с английскими переводами, а не только исследование об авторе. Они пригодны для бесплатного чтения и некоммерческого распространения неизменённых файлов при атрибуции и сохранении CC BY-NC-ND 4.0. Главы 1–26, 71, 82–120 остаются отдельно в G022.</w:t>
      </w:r>
      <w:r>
        <w:t xml:space="preserve"> </w:t>
      </w:r>
      <w:hyperlink r:id="rId13">
        <w:r>
          <w:rPr>
            <w:color w:val="21666A"/>
            <w:u w:val="single"/>
          </w:rPr>
          <w:t>[R012]</w:t>
        </w:r>
      </w:hyperlink>
      <w:r>
        <w:t xml:space="preserve">; </w:t>
      </w:r>
      <w:hyperlink r:id="rId14">
        <w:r>
          <w:rPr>
            <w:color w:val="21666A"/>
            <w:u w:val="single"/>
          </w:rPr>
          <w:t>[R013]</w:t>
        </w:r>
      </w:hyperlink>
    </w:p>
    <w:p>
      <w:r>
        <w:rPr>
          <w:b/>
        </w:rPr>
        <w:t xml:space="preserve">Влеммид и Григора. </w:t>
      </w:r>
      <w:r>
        <w:t>По Влеммиду найдена сильная исследовательская страница проекта Epitome physica, но не полный опубликованный текст; это навигация, не закрытие корпуса. У Григоры конкретными входами служат Phlorentius в издании Leone, каталог писем и первый том Historia Byzantina. Последний не закрывает поздние антипаламитские книги истории.</w:t>
      </w:r>
      <w:r>
        <w:t xml:space="preserve"> </w:t>
      </w:r>
      <w:hyperlink r:id="rId44">
        <w:r>
          <w:rPr>
            <w:color w:val="21666A"/>
            <w:u w:val="single"/>
          </w:rPr>
          <w:t>[R014]</w:t>
        </w:r>
      </w:hyperlink>
      <w:r>
        <w:t xml:space="preserve">; </w:t>
      </w:r>
      <w:hyperlink r:id="rId45">
        <w:r>
          <w:rPr>
            <w:color w:val="21666A"/>
            <w:u w:val="single"/>
          </w:rPr>
          <w:t>[R036]</w:t>
        </w:r>
      </w:hyperlink>
      <w:r>
        <w:t xml:space="preserve">; </w:t>
      </w:r>
      <w:hyperlink r:id="rId46">
        <w:r>
          <w:rPr>
            <w:color w:val="21666A"/>
            <w:u w:val="single"/>
          </w:rPr>
          <w:t>[R037]</w:t>
        </w:r>
      </w:hyperlink>
      <w:r>
        <w:t xml:space="preserve">; </w:t>
      </w:r>
      <w:hyperlink r:id="rId47">
        <w:r>
          <w:rPr>
            <w:color w:val="21666A"/>
            <w:u w:val="single"/>
          </w:rPr>
          <w:t>[R046]</w:t>
        </w:r>
      </w:hyperlink>
    </w:p>
    <w:p>
      <w:r>
        <w:rPr>
          <w:b/>
        </w:rPr>
        <w:t xml:space="preserve">Палама: бесплатное чтение. </w:t>
      </w:r>
      <w:r>
        <w:t>Русские «Триады», «Святогорский томос», «Сто пятьдесят глав», «Антирретики», диалог, письмо и омилии доступны в предметных страницах «Азбуки веры». Ссылки на чтение и форматы загрузки сохранены раздельно по произведениям. Открытая лицензия современных переводов не установлена. Страница «Антирретиков» показывает семь книг, но полный текст каждой из них постранично не проверялся.</w:t>
      </w:r>
      <w:r>
        <w:t xml:space="preserve"> </w:t>
      </w:r>
      <w:hyperlink r:id="rId48">
        <w:r>
          <w:rPr>
            <w:color w:val="21666A"/>
            <w:u w:val="single"/>
          </w:rPr>
          <w:t>[R026]</w:t>
        </w:r>
      </w:hyperlink>
      <w:r>
        <w:t xml:space="preserve">; </w:t>
      </w:r>
      <w:hyperlink r:id="rId49">
        <w:r>
          <w:rPr>
            <w:color w:val="21666A"/>
            <w:u w:val="single"/>
          </w:rPr>
          <w:t>[R027]</w:t>
        </w:r>
      </w:hyperlink>
      <w:r>
        <w:t xml:space="preserve">; </w:t>
      </w:r>
      <w:hyperlink r:id="rId50">
        <w:r>
          <w:rPr>
            <w:color w:val="21666A"/>
            <w:u w:val="single"/>
          </w:rPr>
          <w:t>[R028]</w:t>
        </w:r>
      </w:hyperlink>
      <w:r>
        <w:t xml:space="preserve">; </w:t>
      </w:r>
      <w:hyperlink r:id="rId51">
        <w:r>
          <w:rPr>
            <w:color w:val="21666A"/>
            <w:u w:val="single"/>
          </w:rPr>
          <w:t>[R029]</w:t>
        </w:r>
      </w:hyperlink>
      <w:r>
        <w:t xml:space="preserve">; </w:t>
      </w:r>
      <w:hyperlink r:id="rId52">
        <w:r>
          <w:rPr>
            <w:color w:val="21666A"/>
            <w:u w:val="single"/>
          </w:rPr>
          <w:t>[R030]</w:t>
        </w:r>
      </w:hyperlink>
      <w:r>
        <w:t xml:space="preserve">; </w:t>
      </w:r>
      <w:hyperlink r:id="rId53">
        <w:r>
          <w:rPr>
            <w:color w:val="21666A"/>
            <w:u w:val="single"/>
          </w:rPr>
          <w:t>[R031]</w:t>
        </w:r>
      </w:hyperlink>
      <w:r>
        <w:t xml:space="preserve">; </w:t>
      </w:r>
      <w:hyperlink r:id="rId54">
        <w:r>
          <w:rPr>
            <w:color w:val="21666A"/>
            <w:u w:val="single"/>
          </w:rPr>
          <w:t>[R032]</w:t>
        </w:r>
      </w:hyperlink>
    </w:p>
    <w:p>
      <w:r>
        <w:rPr>
          <w:b/>
        </w:rPr>
        <w:t xml:space="preserve">Палама: современное научное ознакомление. </w:t>
      </w:r>
      <w:r>
        <w:t>SVS Press предлагает полное двуязычное издание «Триад» 2025 года, 818 страниц. Его следует предпочесть как вход к полному греко-английскому тексту, а не смешивать с более ранней выборкой Paulist. Для «Ста пятидесяти глав» найден preview издания Sinkewicz; для полемики Акиндина — конкретное критическое издание двух опровержений в CCSG 31.</w:t>
      </w:r>
      <w:r>
        <w:t xml:space="preserve"> </w:t>
      </w:r>
      <w:hyperlink r:id="rId12">
        <w:r>
          <w:rPr>
            <w:color w:val="21666A"/>
            <w:u w:val="single"/>
          </w:rPr>
          <w:t>[R008]</w:t>
        </w:r>
      </w:hyperlink>
      <w:r>
        <w:t xml:space="preserve">; </w:t>
      </w:r>
      <w:hyperlink r:id="rId55">
        <w:r>
          <w:rPr>
            <w:color w:val="21666A"/>
            <w:u w:val="single"/>
          </w:rPr>
          <w:t>[R009]</w:t>
        </w:r>
      </w:hyperlink>
      <w:r>
        <w:t xml:space="preserve">; </w:t>
      </w:r>
      <w:hyperlink r:id="rId56">
        <w:r>
          <w:rPr>
            <w:color w:val="21666A"/>
            <w:u w:val="single"/>
          </w:rPr>
          <w:t>[R010]</w:t>
        </w:r>
      </w:hyperlink>
      <w:r>
        <w:t xml:space="preserve">; </w:t>
      </w:r>
      <w:hyperlink r:id="rId57">
        <w:r>
          <w:rPr>
            <w:color w:val="21666A"/>
            <w:u w:val="single"/>
          </w:rPr>
          <w:t>[R019]</w:t>
        </w:r>
      </w:hyperlink>
    </w:p>
    <w:p>
      <w:r>
        <w:rPr>
          <w:b/>
        </w:rPr>
        <w:t xml:space="preserve">Оппоненты. </w:t>
      </w:r>
      <w:r>
        <w:t>Письма Акиндина представлены частичным библиографическим входом к изданию Hero. Для восьми греческих писем Варлаама сохранено издание Schirò 1954; полного цифрового текста не найдено. Его современная «Этика согласно стоикам» — отдельное первичное произведение на латыни с английским переводом, подтверждённое издателем, а не косвенная реконструкция из сочинений Паламы.</w:t>
      </w:r>
      <w:r>
        <w:t xml:space="preserve"> </w:t>
      </w:r>
      <w:hyperlink r:id="rId58">
        <w:r>
          <w:rPr>
            <w:color w:val="21666A"/>
            <w:u w:val="single"/>
          </w:rPr>
          <w:t>[R038]</w:t>
        </w:r>
      </w:hyperlink>
      <w:r>
        <w:t xml:space="preserve">; </w:t>
      </w:r>
      <w:hyperlink r:id="rId59">
        <w:r>
          <w:rPr>
            <w:color w:val="21666A"/>
            <w:u w:val="single"/>
          </w:rPr>
          <w:t>[R053]</w:t>
        </w:r>
      </w:hyperlink>
      <w:r>
        <w:t xml:space="preserve">; </w:t>
      </w:r>
      <w:hyperlink r:id="rId19">
        <w:r>
          <w:rPr>
            <w:color w:val="21666A"/>
            <w:u w:val="single"/>
          </w:rPr>
          <w:t>[R054]</w:t>
        </w:r>
      </w:hyperlink>
    </w:p>
    <w:p>
      <w:pPr>
        <w:pStyle w:val="Caption"/>
        <w:spacing w:before="80"/>
      </w:pPr>
      <w:r>
        <w:t>Письмо Паламы из Фессалоники на русской странице не отождествлено автоматически с синоптической публикацией двух редакций третьего письма Акиндину. Последняя остаётся самостоятельным пробелом G024.</w:t>
      </w:r>
    </w:p>
    <w:p>
      <w:r>
        <w:br w:type="page"/>
      </w:r>
    </w:p>
    <w:p>
      <w:pPr>
        <w:pStyle w:val="Heading2"/>
      </w:pPr>
      <w:r>
        <w:t>Лучшие входы: перевод и сохранение</w:t>
      </w:r>
    </w:p>
    <w:p>
      <w:r>
        <w:rPr>
          <w:b/>
        </w:rPr>
        <w:t xml:space="preserve">Греческие комментарии на латыни. </w:t>
      </w:r>
      <w:r>
        <w:t>Тома I и III издания Mercken сохраняют перевод Гроссетеста: Евстратий и анонимные комментарии в первом, аноним, Аспасий и Михаил в третьем. Это конкретный путь к латинской рецепции византийской экзегезы, а не просто общая история влияний. Официальные страницы Brepols дают покупку; бесплатный полный цифровой экземпляр этих современных изданий не подтверждён.</w:t>
      </w:r>
      <w:r>
        <w:t xml:space="preserve"> </w:t>
      </w:r>
      <w:hyperlink r:id="rId29">
        <w:r>
          <w:rPr>
            <w:color w:val="21666A"/>
            <w:u w:val="single"/>
          </w:rPr>
          <w:t>[R040]</w:t>
        </w:r>
      </w:hyperlink>
      <w:r>
        <w:t xml:space="preserve">; </w:t>
      </w:r>
      <w:hyperlink r:id="rId30">
        <w:r>
          <w:rPr>
            <w:color w:val="21666A"/>
            <w:u w:val="single"/>
          </w:rPr>
          <w:t>[R041]</w:t>
        </w:r>
      </w:hyperlink>
    </w:p>
    <w:p>
      <w:r>
        <w:rPr>
          <w:b/>
        </w:rPr>
        <w:t xml:space="preserve">Аквинат на греческом. </w:t>
      </w:r>
      <w:r>
        <w:t>Издание Blanchet 2025 De rationibus fidei содержит две версии, Кидониса и Atoumes. В registry они разведены как разные переводы одного текста, хотя продаются в одной книге. Личность и датировка Atoumes не уточняются сверх подтверждённого. Этот том не заменяет греческие Summa contra Gentiles и Summa theologiae.</w:t>
      </w:r>
      <w:r>
        <w:t xml:space="preserve"> </w:t>
      </w:r>
      <w:hyperlink r:id="rId15">
        <w:r>
          <w:rPr>
            <w:color w:val="21666A"/>
            <w:u w:val="single"/>
          </w:rPr>
          <w:t>[R020]</w:t>
        </w:r>
      </w:hyperlink>
      <w:r>
        <w:t xml:space="preserve">; </w:t>
      </w:r>
      <w:hyperlink r:id="rId15">
        <w:r>
          <w:rPr>
            <w:color w:val="21666A"/>
            <w:u w:val="single"/>
          </w:rPr>
          <w:t>[R021]</w:t>
        </w:r>
      </w:hyperlink>
    </w:p>
    <w:p>
      <w:r>
        <w:t>Материальный вход в схоластическую передачу — Pal.gr.235, связанный каталогом с греческими текстами Схолария и латинской логической традицией. Точные границы произведений по листам требуют дальнейшей проверки. Том VIII Oeuvres complètes Схолария найден в университетском репозитории DUTH; это не все восемь томов, и его неоднозначные условия доступа не позволяют сейчас рекомендовать зеркалирование.</w:t>
      </w:r>
      <w:r>
        <w:t xml:space="preserve"> </w:t>
      </w:r>
      <w:hyperlink r:id="rId60">
        <w:r>
          <w:rPr>
            <w:color w:val="21666A"/>
            <w:u w:val="single"/>
          </w:rPr>
          <w:t>[R048]</w:t>
        </w:r>
      </w:hyperlink>
      <w:r>
        <w:t xml:space="preserve">; </w:t>
      </w:r>
      <w:hyperlink r:id="rId61">
        <w:r>
          <w:rPr>
            <w:color w:val="21666A"/>
            <w:u w:val="single"/>
          </w:rPr>
          <w:t>[R050]</w:t>
        </w:r>
      </w:hyperlink>
    </w:p>
    <w:p>
      <w:r>
        <w:rPr>
          <w:b/>
        </w:rPr>
        <w:t xml:space="preserve">Плифон. </w:t>
      </w:r>
      <w:r>
        <w:t>De differentiis доступен в современном итальянском издании Neri; De virtutibus — через издательскую карточку, где указано переиздание/отсутствие готового тиража; редакция Халдейских оракулов с толкованием — через каталог критического издания 1995. Лучший проверенный свободный полный греческий текст De differentiis не установлен. Nomoi и ответ Схоларию внесены в G038–G039, а не исключены как «соседняя эпоха».</w:t>
      </w:r>
      <w:r>
        <w:t xml:space="preserve"> </w:t>
      </w:r>
      <w:hyperlink r:id="rId62">
        <w:r>
          <w:rPr>
            <w:color w:val="21666A"/>
            <w:u w:val="single"/>
          </w:rPr>
          <w:t>[R024]</w:t>
        </w:r>
      </w:hyperlink>
      <w:r>
        <w:t xml:space="preserve">; </w:t>
      </w:r>
      <w:hyperlink r:id="rId63">
        <w:r>
          <w:rPr>
            <w:color w:val="21666A"/>
            <w:u w:val="single"/>
          </w:rPr>
          <w:t>[R034]</w:t>
        </w:r>
      </w:hyperlink>
      <w:r>
        <w:t xml:space="preserve">; </w:t>
      </w:r>
      <w:hyperlink r:id="rId64">
        <w:r>
          <w:rPr>
            <w:color w:val="21666A"/>
            <w:u w:val="single"/>
          </w:rPr>
          <w:t>[R035]</w:t>
        </w:r>
      </w:hyperlink>
    </w:p>
    <w:p>
      <w:r>
        <w:rPr>
          <w:b/>
        </w:rPr>
        <w:t xml:space="preserve">Виссарион. </w:t>
      </w:r>
      <w:r>
        <w:t>Инкунабула 1469 года в GREDOS — основной найденный бесплатный латинский первичный вход к In calumniatorem Platonis. Цифровая карточка обозначает CC BY-NC-ND 3.0. Сохраняется конкретный экземпляр BG/I.6, включая названные в каталоге сопутствующие тексты. PDF заявлен, но его целостность не проверена; каталожные счётчики листов и страниц расходятся. Современное критическое сопоставление редакций остаётся G040.</w:t>
      </w:r>
      <w:r>
        <w:t xml:space="preserve"> </w:t>
      </w:r>
      <w:hyperlink r:id="rId28">
        <w:r>
          <w:rPr>
            <w:color w:val="21666A"/>
            <w:u w:val="single"/>
          </w:rPr>
          <w:t>[R018]</w:t>
        </w:r>
      </w:hyperlink>
    </w:p>
    <w:p>
      <w:r>
        <w:rPr>
          <w:b/>
        </w:rPr>
        <w:t xml:space="preserve">Поздняя антология и славянский свидетель. </w:t>
      </w:r>
      <w:r>
        <w:t>OverDrive даёт маршрут к библиотечной выдаче английской «Филокалии», том IV, и образцу. Доступ зависит от фонда и правил конкретной библиотеки: выдача не выполнялась. Это отобранные тексты, а не полное собрание Паламы. Славянская рукопись 1808 года — другой способ сохранения; происхождение цифровой копии, шифр и её права ещё не установлены достаточно для повторной публикации.</w:t>
      </w:r>
      <w:r>
        <w:t xml:space="preserve"> </w:t>
      </w:r>
      <w:hyperlink r:id="rId26">
        <w:r>
          <w:rPr>
            <w:color w:val="21666A"/>
            <w:u w:val="single"/>
          </w:rPr>
          <w:t>[R033]</w:t>
        </w:r>
      </w:hyperlink>
      <w:r>
        <w:t xml:space="preserve">; </w:t>
      </w:r>
      <w:hyperlink r:id="rId27">
        <w:r>
          <w:rPr>
            <w:color w:val="21666A"/>
            <w:u w:val="single"/>
          </w:rPr>
          <w:t>[R052]</w:t>
        </w:r>
      </w:hyperlink>
    </w:p>
    <w:p>
      <w:r>
        <w:rPr>
          <w:b/>
        </w:rPr>
        <w:t xml:space="preserve">Ранние источники. </w:t>
      </w:r>
      <w:r>
        <w:t>Для Боэция удобен старый английский перевод H. R. James в Project Gutenberg. Для Дамаскина, Аспасия и Прокла подтверждены современные издательские варианты. Николай Мефонский включён как прямой полемический ответ Проклу; издательская карточка 1987 года не слита автоматически с библиографическими данными другого издания 1984 года.</w:t>
      </w:r>
      <w:r>
        <w:t xml:space="preserve"> </w:t>
      </w:r>
      <w:hyperlink r:id="rId20">
        <w:r>
          <w:rPr>
            <w:color w:val="21666A"/>
            <w:u w:val="single"/>
          </w:rPr>
          <w:t>[R017]</w:t>
        </w:r>
      </w:hyperlink>
      <w:r>
        <w:t xml:space="preserve">; </w:t>
      </w:r>
      <w:hyperlink r:id="rId21">
        <w:r>
          <w:rPr>
            <w:color w:val="21666A"/>
            <w:u w:val="single"/>
          </w:rPr>
          <w:t>[R042]</w:t>
        </w:r>
      </w:hyperlink>
      <w:r>
        <w:t xml:space="preserve">; </w:t>
      </w:r>
      <w:hyperlink r:id="rId25">
        <w:r>
          <w:rPr>
            <w:color w:val="21666A"/>
            <w:u w:val="single"/>
          </w:rPr>
          <w:t>[R044]</w:t>
        </w:r>
      </w:hyperlink>
      <w:r>
        <w:t xml:space="preserve">; </w:t>
      </w:r>
      <w:hyperlink r:id="rId23">
        <w:r>
          <w:rPr>
            <w:color w:val="21666A"/>
            <w:u w:val="single"/>
          </w:rPr>
          <w:t>[R055]</w:t>
        </w:r>
      </w:hyperlink>
      <w:r>
        <w:t xml:space="preserve">; </w:t>
      </w:r>
      <w:hyperlink r:id="rId24">
        <w:r>
          <w:rPr>
            <w:color w:val="21666A"/>
            <w:u w:val="single"/>
          </w:rPr>
          <w:t>[R056]</w:t>
        </w:r>
      </w:hyperlink>
    </w:p>
    <w:p>
      <w:pPr>
        <w:pStyle w:val="Caption"/>
        <w:spacing w:before="80"/>
      </w:pPr>
      <w:r>
        <w:t>В тех группах, где надёжный бесплатный оригинал, старый перевод или машиночитаемый слой не найден, он так и обозначен: платный научный вход сохранён, а отсутствующая альтернатива вынесена в gaps.</w:t>
      </w:r>
    </w:p>
    <w:p>
      <w:r>
        <w:br w:type="page"/>
      </w:r>
    </w:p>
    <w:p>
      <w:pPr>
        <w:pStyle w:val="Heading1"/>
      </w:pPr>
      <w:r>
        <w:t>4. Карта прав и использования</w:t>
      </w:r>
    </w:p>
    <w:p>
      <w:pPr>
        <w:pStyle w:val="Heading2"/>
      </w:pPr>
      <w:r>
        <w:t>Открытые и условно открытые слои</w:t>
      </w:r>
    </w:p>
    <w:p>
      <w:r>
        <w:rPr>
          <w:b/>
        </w:rPr>
        <w:t xml:space="preserve">CC BY 4.0: Пахимер. </w:t>
      </w:r>
      <w:r>
        <w:t>R001 даёт основания для распространения лицензированного текста с атрибуцией, полнотекстовой индексации и собственного перевода доступного греческого слоя. Вывод об embeddings основан на разрешениях воспроизводить и адаптировать, а не на специальном заявлении издателя о машинном обучении. Сторонние изображения проверяются отдельно. Положительные теги не относятся к остальным произведениям Пахимера.</w:t>
      </w:r>
      <w:r>
        <w:t xml:space="preserve"> </w:t>
      </w:r>
      <w:hyperlink r:id="rId11">
        <w:r>
          <w:rPr>
            <w:color w:val="21666A"/>
            <w:u w:val="single"/>
          </w:rPr>
          <w:t>[R001]</w:t>
        </w:r>
      </w:hyperlink>
    </w:p>
    <w:p>
      <w:r>
        <w:rPr>
          <w:b/>
        </w:rPr>
        <w:t xml:space="preserve">Public Domain Mark: исторический Пселл. </w:t>
      </w:r>
      <w:r>
        <w:t>В R049 статус обозначен для институционального скана издания 1838 года. Это самый ясный найденный слой для зеркалирования, OCR и работы над собственным переводом исторического греческого текста. Public Domain Mark — отметка статуса, не лицензия и не гарантия авторства. Непроверенная читаемость отдельных страниц ограничивает практическую, а не автоматически правовую готовность.</w:t>
      </w:r>
      <w:r>
        <w:t xml:space="preserve"> </w:t>
      </w:r>
      <w:hyperlink r:id="rId17">
        <w:r>
          <w:rPr>
            <w:color w:val="21666A"/>
            <w:u w:val="single"/>
          </w:rPr>
          <w:t>[R049]</w:t>
        </w:r>
      </w:hyperlink>
    </w:p>
    <w:p>
      <w:r>
        <w:rPr>
          <w:b/>
        </w:rPr>
        <w:t xml:space="preserve">CC BY-SA 4.0: First1KGreek. </w:t>
      </w:r>
      <w:r>
        <w:t>Сохраняются атрибуция, ссылка на лицензию, обозначение изменений и требование ShareAlike для производного материала, на который оно распространяется. Разрешения касаются лицензированных текстовых компонентов, не любых изображений или подключённых сторонних изданий. До сверки конкретного teiHeader тег OWN_TRANSLATION_POSSIBLE не присвоен; автоматический перенос разрешений на неизвестные компоненты блокирует RIGHTS_REVIEW_REQUIRED.</w:t>
      </w:r>
      <w:r>
        <w:t xml:space="preserve"> </w:t>
      </w:r>
      <w:hyperlink r:id="rId16">
        <w:r>
          <w:rPr>
            <w:color w:val="21666A"/>
            <w:u w:val="single"/>
          </w:rPr>
          <w:t>[R025]</w:t>
        </w:r>
      </w:hyperlink>
    </w:p>
    <w:p>
      <w:r>
        <w:rPr>
          <w:b/>
        </w:rPr>
        <w:t xml:space="preserve">Некоммерческое неизменённое распространение. </w:t>
      </w:r>
      <w:r>
        <w:t>R012–R013 (Метохит, CC BY-NC-ND 4.0) и R018 (Виссарион, CC BY-NC-ND 3.0) полезны для ToS. Нужны атрибуция, сохранение лицензии, некоммерческий характер конкретного использования и отсутствие недопустимой публичной переработки. Само отсутствие продажи книги не решает вопрос NC для всякой модели работы сайта.</w:t>
      </w:r>
      <w:r>
        <w:t xml:space="preserve"> </w:t>
      </w:r>
      <w:hyperlink r:id="rId13">
        <w:r>
          <w:rPr>
            <w:color w:val="21666A"/>
            <w:u w:val="single"/>
          </w:rPr>
          <w:t>[R012]</w:t>
        </w:r>
      </w:hyperlink>
      <w:r>
        <w:t xml:space="preserve">; </w:t>
      </w:r>
      <w:hyperlink r:id="rId14">
        <w:r>
          <w:rPr>
            <w:color w:val="21666A"/>
            <w:u w:val="single"/>
          </w:rPr>
          <w:t>[R013]</w:t>
        </w:r>
      </w:hyperlink>
      <w:r>
        <w:t xml:space="preserve">; </w:t>
      </w:r>
      <w:hyperlink r:id="rId28">
        <w:r>
          <w:rPr>
            <w:color w:val="21666A"/>
            <w:u w:val="single"/>
          </w:rPr>
          <w:t>[R018]</w:t>
        </w:r>
      </w:hyperlink>
    </w:p>
    <w:p>
      <w:pPr>
        <w:pStyle w:val="Heading2"/>
      </w:pPr>
      <w:r>
        <w:t>Доступ без доказанного права зеркалирования</w:t>
      </w:r>
    </w:p>
    <w:p>
      <w:r>
        <w:t>Переводы Паламы R026–R033, современные критические издания, каталоги и большинство preview оставлены как чтение, загрузка по опубликованным условиям, покупка либо внешняя ссылка. Для них не установлено общее разрешение публичного полнотекстового индекса, embeddings или нового перевода с защищённого перевода-посредника. LOCAL_RESEARCH_COPY означает только разрешённую локальную исследовательскую копию, а не право предоставлять её аудитории.</w:t>
      </w:r>
    </w:p>
    <w:p>
      <w:r>
        <w:t>Ватиканские R005 и R048 дают просмотр конкретного свидетеля; кнопка загрузки изображения не превращает коллекцию в разрешённый bulk dataset. R050 требует отдельного выяснения: видимая CC BY-NC-ND 4.0 соседствует в полной карточке с Default License и account. MIRROR_NONCOMMERCIAL там намеренно отсутствует.</w:t>
      </w:r>
      <w:r>
        <w:t xml:space="preserve"> </w:t>
      </w:r>
      <w:hyperlink r:id="rId35">
        <w:r>
          <w:rPr>
            <w:color w:val="21666A"/>
            <w:u w:val="single"/>
          </w:rPr>
          <w:t>[R005]</w:t>
        </w:r>
      </w:hyperlink>
      <w:r>
        <w:t xml:space="preserve">; </w:t>
      </w:r>
      <w:hyperlink r:id="rId60">
        <w:r>
          <w:rPr>
            <w:color w:val="21666A"/>
            <w:u w:val="single"/>
          </w:rPr>
          <w:t>[R048]</w:t>
        </w:r>
      </w:hyperlink>
      <w:r>
        <w:t xml:space="preserve">; </w:t>
      </w:r>
      <w:hyperlink r:id="rId61">
        <w:r>
          <w:rPr>
            <w:color w:val="21666A"/>
            <w:u w:val="single"/>
          </w:rPr>
          <w:t>[R050]</w:t>
        </w:r>
      </w:hyperlink>
    </w:p>
    <w:p>
      <w:r>
        <w:t>Project Gutenberg и старый CAG XX дают полезные оригиналы/переводы и загрузки, но указанный или подразумеваемый американский public-domain режим не принят за бесспорное разрешение во всех юрисдикциях проекта. До отдельной проверки это не автоматическая команда зеркалирования.</w:t>
      </w:r>
      <w:r>
        <w:t xml:space="preserve"> </w:t>
      </w:r>
      <w:hyperlink r:id="rId22">
        <w:r>
          <w:rPr>
            <w:color w:val="21666A"/>
            <w:u w:val="single"/>
          </w:rPr>
          <w:t>[R043]</w:t>
        </w:r>
      </w:hyperlink>
      <w:r>
        <w:t xml:space="preserve">; </w:t>
      </w:r>
      <w:hyperlink r:id="rId25">
        <w:r>
          <w:rPr>
            <w:color w:val="21666A"/>
            <w:u w:val="single"/>
          </w:rPr>
          <w:t>[R044]</w:t>
        </w:r>
      </w:hyperlink>
      <w:r>
        <w:t xml:space="preserve">; </w:t>
      </w:r>
      <w:hyperlink r:id="rId18">
        <w:r>
          <w:rPr>
            <w:color w:val="21666A"/>
            <w:u w:val="single"/>
          </w:rPr>
          <w:t>[R051]</w:t>
        </w:r>
      </w:hyperlink>
    </w:p>
    <w:p>
      <w:pPr>
        <w:pStyle w:val="Caption"/>
        <w:spacing w:before="80"/>
      </w:pPr>
      <w:r>
        <w:t>Перечисленные возможности — исследовательская оценка доказанных слоёв, не разрешение на пакетную публикацию всего registry. Права и покрытие проверяются вместе: rights_scope + coverage + notes.</w:t>
      </w:r>
    </w:p>
    <w:p>
      <w:r>
        <w:br w:type="page"/>
      </w:r>
    </w:p>
    <w:p>
      <w:pPr>
        <w:pStyle w:val="Heading1"/>
      </w:pPr>
      <w:r>
        <w:t>5. Характерные правовые тонкости</w:t>
      </w:r>
    </w:p>
    <w:p>
      <w:r>
        <w:rPr>
          <w:b/>
        </w:rPr>
        <w:t xml:space="preserve">Древний текст ≠ современная книга. </w:t>
      </w:r>
      <w:r>
        <w:t>Паламитский трактат XIV века и английский перевод 2025 года — разные правовые слои. Аналогично редакционный аппарат, реконструкция греческого текста, перевод и фотографии не становятся свободными лишь из-за средневековой даты сочинения. В R008–R010 и большинстве современных издательских записей пригодность для чтения не превращена в разрешение копировать перевод.</w:t>
      </w:r>
      <w:r>
        <w:t xml:space="preserve"> </w:t>
      </w:r>
      <w:hyperlink r:id="rId12">
        <w:r>
          <w:rPr>
            <w:color w:val="21666A"/>
            <w:u w:val="single"/>
          </w:rPr>
          <w:t>[R008]</w:t>
        </w:r>
      </w:hyperlink>
      <w:r>
        <w:t xml:space="preserve">; </w:t>
      </w:r>
      <w:hyperlink r:id="rId55">
        <w:r>
          <w:rPr>
            <w:color w:val="21666A"/>
            <w:u w:val="single"/>
          </w:rPr>
          <w:t>[R009]</w:t>
        </w:r>
      </w:hyperlink>
      <w:r>
        <w:t xml:space="preserve">; </w:t>
      </w:r>
      <w:hyperlink r:id="rId56">
        <w:r>
          <w:rPr>
            <w:color w:val="21666A"/>
            <w:u w:val="single"/>
          </w:rPr>
          <w:t>[R010]</w:t>
        </w:r>
      </w:hyperlink>
    </w:p>
    <w:p>
      <w:r>
        <w:rPr>
          <w:b/>
        </w:rPr>
        <w:t xml:space="preserve">ND ≠ запрет на каждую техническую операцию. </w:t>
      </w:r>
      <w:r>
        <w:t>Необходимая смена технического формата сама по себе не обязательно создаёт производное произведение. Поэтому CC BY-NC-ND не описана как запрет открыть или преобразовать файл для чтения. Но публикация изменённой транскрипции, критически переработанного текста или перевода защищённого редакционного слоя не получает разрешение автоматически. OCR, публичный индекс и embeddings оцениваются раздельно.</w:t>
      </w:r>
    </w:p>
    <w:p>
      <w:pPr>
        <w:pStyle w:val="Caption"/>
        <w:spacing w:before="80"/>
      </w:pPr>
      <w:r>
        <w:t xml:space="preserve">Основание для разграничения технических изменений и адаптаций: </w:t>
      </w:r>
      <w:hyperlink r:id="rId65">
        <w:r>
          <w:rPr>
            <w:color w:val="21666A"/>
            <w:u w:val="single"/>
          </w:rPr>
          <w:t>официальные условия CC BY-NC-ND 4.0</w:t>
        </w:r>
      </w:hyperlink>
    </w:p>
    <w:p>
      <w:r>
        <w:t>ND на факсимиле инкунабулы не продлевает авторское право Виссариона. Однако конкретный цифровой объект и независимая транскрипция его исторического текста — разные объекты исследования. Для нового перевода необходимы чистая основа, доказанная область разрешений и проверка зависимости от защищённого современного аппарата. В R018 безусловный тег собственного перевода поэтому не поставлен.</w:t>
      </w:r>
      <w:r>
        <w:t xml:space="preserve"> </w:t>
      </w:r>
      <w:hyperlink r:id="rId28">
        <w:r>
          <w:rPr>
            <w:color w:val="21666A"/>
            <w:u w:val="single"/>
          </w:rPr>
          <w:t>[R018]</w:t>
        </w:r>
      </w:hyperlink>
    </w:p>
    <w:p>
      <w:r>
        <w:rPr>
          <w:b/>
        </w:rPr>
        <w:t xml:space="preserve">Одинаковая платформа не означает одинаковые права. </w:t>
      </w:r>
      <w:r>
        <w:t>Wellcome на Internet Archive обозначает PDM, скан CAG XX имеет более осторожное possible copyright status, а Open Library предлагает регулируемый интерфейс выдачи. Это три разных режима. GitHub также не является лицензией: у First1KGreek она обнаружена, у cag-dev — не установлена.</w:t>
      </w:r>
      <w:r>
        <w:t xml:space="preserve"> </w:t>
      </w:r>
      <w:hyperlink r:id="rId33">
        <w:r>
          <w:rPr>
            <w:color w:val="21666A"/>
            <w:u w:val="single"/>
          </w:rPr>
          <w:t>[R004]</w:t>
        </w:r>
      </w:hyperlink>
      <w:r>
        <w:t xml:space="preserve">; </w:t>
      </w:r>
      <w:hyperlink r:id="rId39">
        <w:r>
          <w:rPr>
            <w:color w:val="21666A"/>
            <w:u w:val="single"/>
          </w:rPr>
          <w:t>[R011]</w:t>
        </w:r>
      </w:hyperlink>
      <w:r>
        <w:t xml:space="preserve">; </w:t>
      </w:r>
      <w:hyperlink r:id="rId16">
        <w:r>
          <w:rPr>
            <w:color w:val="21666A"/>
            <w:u w:val="single"/>
          </w:rPr>
          <w:t>[R025]</w:t>
        </w:r>
      </w:hyperlink>
      <w:r>
        <w:t xml:space="preserve">; </w:t>
      </w:r>
      <w:hyperlink r:id="rId17">
        <w:r>
          <w:rPr>
            <w:color w:val="21666A"/>
            <w:u w:val="single"/>
          </w:rPr>
          <w:t>[R049]</w:t>
        </w:r>
      </w:hyperlink>
      <w:r>
        <w:t xml:space="preserve">; </w:t>
      </w:r>
      <w:hyperlink r:id="rId18">
        <w:r>
          <w:rPr>
            <w:color w:val="21666A"/>
            <w:u w:val="single"/>
          </w:rPr>
          <w:t>[R051]</w:t>
        </w:r>
      </w:hyperlink>
    </w:p>
    <w:p>
      <w:r>
        <w:rPr>
          <w:b/>
        </w:rPr>
        <w:t xml:space="preserve">Цифровая копия ≠ выверенный текст. </w:t>
      </w:r>
      <w:r>
        <w:t>В CAG XX открыт полный OCR, но исходная настройка распознавания и ошибки делают его непригодным для неконтролируемого импорта как греческого критического текста. Полнота файла, полнота печатного тома и полнота авторского корпуса — разные утверждения. Для BAV единицей служит кодекс; для Метохита — названные главы; для текстового пакета — только проверяемые компоненты.</w:t>
      </w:r>
      <w:r>
        <w:t xml:space="preserve"> </w:t>
      </w:r>
      <w:hyperlink r:id="rId35">
        <w:r>
          <w:rPr>
            <w:color w:val="21666A"/>
            <w:u w:val="single"/>
          </w:rPr>
          <w:t>[R005]</w:t>
        </w:r>
      </w:hyperlink>
      <w:r>
        <w:t xml:space="preserve">; </w:t>
      </w:r>
      <w:hyperlink r:id="rId13">
        <w:r>
          <w:rPr>
            <w:color w:val="21666A"/>
            <w:u w:val="single"/>
          </w:rPr>
          <w:t>[R012]</w:t>
        </w:r>
      </w:hyperlink>
      <w:r>
        <w:t xml:space="preserve">; </w:t>
      </w:r>
      <w:hyperlink r:id="rId14">
        <w:r>
          <w:rPr>
            <w:color w:val="21666A"/>
            <w:u w:val="single"/>
          </w:rPr>
          <w:t>[R013]</w:t>
        </w:r>
      </w:hyperlink>
      <w:r>
        <w:t xml:space="preserve">; </w:t>
      </w:r>
      <w:hyperlink r:id="rId16">
        <w:r>
          <w:rPr>
            <w:color w:val="21666A"/>
            <w:u w:val="single"/>
          </w:rPr>
          <w:t>[R025]</w:t>
        </w:r>
      </w:hyperlink>
      <w:r>
        <w:t xml:space="preserve">; </w:t>
      </w:r>
      <w:hyperlink r:id="rId18">
        <w:r>
          <w:rPr>
            <w:color w:val="21666A"/>
            <w:u w:val="single"/>
          </w:rPr>
          <w:t>[R051]</w:t>
        </w:r>
      </w:hyperlink>
    </w:p>
    <w:p>
      <w:r>
        <w:rPr>
          <w:b/>
        </w:rPr>
        <w:t xml:space="preserve">Каталог ≠ библиотечная выдача. </w:t>
      </w:r>
      <w:r>
        <w:t>Внутренняя консультация фонда FSCIRE, потенциальная выдача Open Library и поиск выдающего учреждения в OverDrive разведены. Ни библиотечная доступность, ни бесплатная регистрация не были проверены путём создания аккаунта или оформления займа. Controlled Digital Lending не объявлено универсальной лицензией на переиздание.</w:t>
      </w:r>
      <w:r>
        <w:t xml:space="preserve"> </w:t>
      </w:r>
      <w:hyperlink r:id="rId33">
        <w:r>
          <w:rPr>
            <w:color w:val="21666A"/>
            <w:u w:val="single"/>
          </w:rPr>
          <w:t>[R004]</w:t>
        </w:r>
      </w:hyperlink>
      <w:r>
        <w:t xml:space="preserve">; </w:t>
      </w:r>
      <w:hyperlink r:id="rId45">
        <w:r>
          <w:rPr>
            <w:color w:val="21666A"/>
            <w:u w:val="single"/>
          </w:rPr>
          <w:t>[R036]</w:t>
        </w:r>
      </w:hyperlink>
      <w:r>
        <w:t xml:space="preserve">; </w:t>
      </w:r>
      <w:hyperlink r:id="rId27">
        <w:r>
          <w:rPr>
            <w:color w:val="21666A"/>
            <w:u w:val="single"/>
          </w:rPr>
          <w:t>[R052]</w:t>
        </w:r>
      </w:hyperlink>
    </w:p>
    <w:p>
      <w:r>
        <w:rPr>
          <w:b/>
        </w:rPr>
        <w:t xml:space="preserve">Собственный перевод: где реально начинать. </w:t>
      </w:r>
      <w:r>
        <w:t>Наиболее ясные основания — лицензированный греческий текст R001 в пределах комментария I–VI и исторический текст на PDM-факсимиле R049 после проверки нужных страниц. R025 перспективен только после проверки файлов; старый CAG XX требует юрисдикционной проверки редакционного слоя. Защищённые русские или английские переводы не предлагаются в качестве свободного посредника.</w:t>
      </w:r>
      <w:r>
        <w:t xml:space="preserve"> </w:t>
      </w:r>
      <w:hyperlink r:id="rId11">
        <w:r>
          <w:rPr>
            <w:color w:val="21666A"/>
            <w:u w:val="single"/>
          </w:rPr>
          <w:t>[R001]</w:t>
        </w:r>
      </w:hyperlink>
      <w:r>
        <w:t xml:space="preserve">; </w:t>
      </w:r>
      <w:hyperlink r:id="rId16">
        <w:r>
          <w:rPr>
            <w:color w:val="21666A"/>
            <w:u w:val="single"/>
          </w:rPr>
          <w:t>[R025]</w:t>
        </w:r>
      </w:hyperlink>
      <w:r>
        <w:t xml:space="preserve">; </w:t>
      </w:r>
      <w:hyperlink r:id="rId17">
        <w:r>
          <w:rPr>
            <w:color w:val="21666A"/>
            <w:u w:val="single"/>
          </w:rPr>
          <w:t>[R049]</w:t>
        </w:r>
      </w:hyperlink>
      <w:r>
        <w:t xml:space="preserve">; </w:t>
      </w:r>
      <w:hyperlink r:id="rId18">
        <w:r>
          <w:rPr>
            <w:color w:val="21666A"/>
            <w:u w:val="single"/>
          </w:rPr>
          <w:t>[R051]</w:t>
        </w:r>
      </w:hyperlink>
    </w:p>
    <w:p>
      <w:pPr>
        <w:pStyle w:val="Caption"/>
        <w:spacing w:before="80"/>
      </w:pPr>
      <w:r>
        <w:t>У неопределённости есть конкретный предмет: право на действие, компонент, юрисдикция, полнота или атрибуция. Метка RIGHTS_REVIEW_REQUIRED не отменяет уже доказанное чтение, но блокирует расширительное автоматическое толкование.</w:t>
      </w:r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r>
        <w:t>Реестр не является исчерпывающим каталогом всего узла. Поиск дал новые полезные пути, но остановлен до закрытия всех авторских корпусов и рукописных коллекций. Непроверенные кандидаты сохранены, а отсутствие извлечённого файла нигде не объявлено отсутствием произведения. Ниже — девять направлений, которые дадут наибольший прирост покрытия.</w:t>
      </w:r>
    </w:p>
    <w:p>
      <w:r>
        <w:rPr>
          <w:b/>
        </w:rPr>
        <w:t xml:space="preserve">1 · Пселл и Итал — полные греческие тексты. </w:t>
      </w:r>
      <w:r>
        <w:t>G001–G006: найти законный полный DOD, Philosophica minora и QQ, установить содержание Opera 1966, предметно проверить De dialectica, De syllogismis, Methodos rhetorike и Topics II–IV. Отдельно сверить парафразы Organon и письмо Иоанну Ксифилину.</w:t>
      </w:r>
    </w:p>
    <w:p>
      <w:r>
        <w:rPr>
          <w:b/>
        </w:rPr>
        <w:t xml:space="preserve">2 · Состав византийского CAG. </w:t>
      </w:r>
      <w:r>
        <w:t>G007–G012: пройти конкретные каталожные номера Михаила Эфесского и псевдоэпиграфические слои Metaphysica, Sophistici elenchi, De generatione animalium. Найти De coloribus и фрагмент Politics; проверить teiHeader нужных файлов First1KGreek и отдельную лицензию cag-dev.</w:t>
      </w:r>
    </w:p>
    <w:p>
      <w:r>
        <w:rPr>
          <w:b/>
        </w:rPr>
        <w:t xml:space="preserve">3 · Влеммид и Пахимер. </w:t>
      </w:r>
      <w:r>
        <w:t>G013–G021: получить полные Epitome logica/physica, разложить Philosophia по опубликованным книгам и свидетелям, не смешивая её с самостоятельными комментариями. Проверить Quadrivium, атрибуцию Physics и продолжение комментария к Parmenides. Рукописные кандидаты Самоса, BSB и ÖNB сначала идентифицировать по каталогу.</w:t>
      </w:r>
    </w:p>
    <w:p>
      <w:r>
        <w:rPr>
          <w:b/>
        </w:rPr>
        <w:t xml:space="preserve">4 · Паламитские документы и две стороны спора. </w:t>
      </w:r>
      <w:r>
        <w:t>G024–G030: открыть синоптическую публикацию двух редакций третьего письма, найти item-level тексты томосов 1341, 1347, 1351, соотнести их с Синодиком. У Варлаама проверить Opere contro i Latini и фрагменты против мессалиан; у Григоры — антипаламитские сочинения и соответствующие поздние книги Historia.</w:t>
      </w:r>
    </w:p>
    <w:p>
      <w:r>
        <w:rPr>
          <w:b/>
        </w:rPr>
        <w:t xml:space="preserve">5 · Полнота Метохита. </w:t>
      </w:r>
      <w:r>
        <w:t>G022–G023: закрыть главы 1–26, 71, 82–120, отдельно установить доступ к орациям. Сравнить современные критические тома с историческими изданиями, не перенося лицензию двух открытых книг на остальное наследие.</w:t>
      </w:r>
    </w:p>
    <w:p>
      <w:r>
        <w:rPr>
          <w:b/>
        </w:rPr>
        <w:t xml:space="preserve">6 · Латынь → греческий. </w:t>
      </w:r>
      <w:r>
        <w:t>G031–G037: предметные издания переводов Боэция и Августина у Плануда, логических текстов у Оловола, греческих Сумм Аквината, De fide и De principiis Калекаса. Для Схолария найти I–VII и Contra Plethonem; разрешить противоречивые поля прав тома VIII.</w:t>
      </w:r>
    </w:p>
    <w:p>
      <w:r>
        <w:rPr>
          <w:b/>
        </w:rPr>
        <w:t xml:space="preserve">7 · Поздний платонический спор и его источники. </w:t>
      </w:r>
      <w:r>
        <w:t>G038–G044: Nomoi Плифона, греческий De differentiis, ответ Схоларию и критические версии Виссариона. Отдельно выявить Халдейские оракулы и их толкования, конкретные заимствованные места Плотина/Порфирия, Филопона и предполагаемые прокловские переработки.</w:t>
      </w:r>
    </w:p>
    <w:p>
      <w:r>
        <w:rPr>
          <w:b/>
        </w:rPr>
        <w:t xml:space="preserve">8 · Поздняя славянская и антологическая передача. </w:t>
      </w:r>
      <w:r>
        <w:t>G046–G048, G051: найти греческое факсимиле Филокалии 1782, проверить паламитский состав «Добротолюбия» 1793, происхождение рукописи 1808 и конкретные атрибуции славянских переводов. У русских переводов установить правообладателей и опубликованные условия, не предполагая согласия по факту размещения.</w:t>
      </w:r>
    </w:p>
    <w:p>
      <w:r>
        <w:rPr>
          <w:b/>
        </w:rPr>
        <w:t xml:space="preserve">9 · Рукописи, API и поздняя латинская версия. </w:t>
      </w:r>
      <w:r>
        <w:t>G019–G020, G049–G050: проверить свидетели Philosophia, связать IIIF только с установленными правами конкретного объекта, выяснить позднюю латинскую передачу Евстратия к APo II. Техническая доступность manifest/API не должна предшествовать проверке прав массового копирования.</w:t>
      </w:r>
    </w:p>
    <w:p>
      <w:pPr>
        <w:pStyle w:val="Caption"/>
        <w:spacing w:before="80"/>
      </w:pPr>
      <w:r>
        <w:t>Это направления дальнейшего исследования, а не автоматически запускаемые задачи, запросы правообладателям или обязательство получить платный доступ.</w:t>
      </w:r>
    </w:p>
    <w:p>
      <w:r>
        <w:br w:type="page"/>
      </w:r>
    </w:p>
    <w:p>
      <w:pPr>
        <w:pStyle w:val="Heading2"/>
      </w:pPr>
      <w:r>
        <w:t>Пробелы: кандидаты и пределы проверки</w:t>
      </w:r>
    </w:p>
    <w:p>
      <w:pPr>
        <w:pStyle w:val="Heading2"/>
      </w:pPr>
      <w:r>
        <w:t>Кандидаты, не включённые как установленные объекты</w:t>
      </w:r>
    </w:p>
    <w:p>
      <w:r>
        <w:t>Шесть записей сохранены как unverified_candidate. Их наличие в поиске или навигационном источнике не было достаточным подтверждением конкретного цифрового объекта. Причины и предмет следующей проверки приведены на листе gaps; они не превращены в дополнительные строки registry.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458"/>
        <w:gridCol w:w="5386"/>
      </w:tblGrid>
      <w:tr>
        <w:trPr>
          <w:cantSplit/>
          <w:tblHeader/>
        </w:trPr>
        <w:tc>
          <w:tcPr>
            <w:tcW w:type="dxa" w:w="907"/>
            <w:vAlign w:val="top"/>
            <w:shd w:fill="193B4A"/>
          </w:tcPr>
          <w:p>
            <w:pPr>
              <w:spacing w:after="100" w:before="10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458"/>
            <w:vAlign w:val="top"/>
            <w:shd w:fill="193B4A"/>
          </w:tcPr>
          <w:p>
            <w:pPr>
              <w:spacing w:after="100" w:before="100" w:line="252" w:lineRule="auto"/>
            </w:pPr>
            <w:r>
              <w:rPr>
                <w:b/>
                <w:color w:val="FFFFFF"/>
                <w:sz w:val="19"/>
              </w:rPr>
              <w:t>Кандидат</w:t>
            </w:r>
          </w:p>
        </w:tc>
        <w:tc>
          <w:tcPr>
            <w:tcW w:type="dxa" w:w="5386"/>
            <w:vAlign w:val="top"/>
            <w:shd w:fill="193B4A"/>
          </w:tcPr>
          <w:p>
            <w:pPr>
              <w:spacing w:after="100" w:before="100" w:line="252" w:lineRule="auto"/>
            </w:pPr>
            <w:r>
              <w:rPr>
                <w:b/>
                <w:color w:val="FFFFFF"/>
                <w:sz w:val="19"/>
              </w:rPr>
              <w:t>Чего не хватает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G015</w:t>
            </w:r>
          </w:p>
        </w:tc>
        <w:tc>
          <w:tcPr>
            <w:tcW w:type="dxa" w:w="3458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Поздние рукописи Влеммида на Самосе</w:t>
            </w:r>
          </w:p>
        </w:tc>
        <w:tc>
          <w:tcPr>
            <w:tcW w:type="dxa" w:w="5386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Проверенной карточки, шифра, состава и доступа к конкретному свидетелю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G019</w:t>
            </w:r>
          </w:p>
        </w:tc>
        <w:tc>
          <w:tcPr>
            <w:tcW w:type="dxa" w:w="3458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Пахимер, Philosophia: BSB Cod.graec.97</w:t>
            </w:r>
          </w:p>
        </w:tc>
        <w:tc>
          <w:tcPr>
            <w:tcW w:type="dxa" w:w="5386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Открытого предметного описания и подтверждения факсимиле; известный адрес не извлечён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G020</w:t>
            </w:r>
          </w:p>
        </w:tc>
        <w:tc>
          <w:tcPr>
            <w:tcW w:type="dxa" w:w="3458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Пахимер, Philosophia: ÖNB phil.gr.121</w:t>
            </w:r>
          </w:p>
        </w:tc>
        <w:tc>
          <w:tcPr>
            <w:tcW w:type="dxa" w:w="5386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Сверки каталожного указателя с объектом и фактическим составом рукописи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G045</w:t>
            </w:r>
          </w:p>
        </w:tc>
        <w:tc>
          <w:tcPr>
            <w:tcW w:type="dxa" w:w="3458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Симеон Сиф, Феодор Смирнский, школьные тексты Продрома</w:t>
            </w:r>
          </w:p>
        </w:tc>
        <w:tc>
          <w:tcPr>
            <w:tcW w:type="dxa" w:w="5386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Подтверждения конкретных произведений и изданий; именной близости недостаточно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G047</w:t>
            </w:r>
          </w:p>
        </w:tc>
        <w:tc>
          <w:tcPr>
            <w:tcW w:type="dxa" w:w="3458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«Добротолюбие» 1793 и паламитский слой</w:t>
            </w:r>
          </w:p>
        </w:tc>
        <w:tc>
          <w:tcPr>
            <w:tcW w:type="dxa" w:w="5386"/>
            <w:vAlign w:val="top"/>
            <w:shd w:fill="F1F5F6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Проверки точного состава, версии перевода и пригодной цифровой копии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G049</w:t>
            </w:r>
          </w:p>
        </w:tc>
        <w:tc>
          <w:tcPr>
            <w:tcW w:type="dxa" w:w="3458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Латинский Евстратий: Gratiolus / CAGL 7</w:t>
            </w:r>
          </w:p>
        </w:tc>
        <w:tc>
          <w:tcPr>
            <w:tcW w:type="dxa" w:w="5386"/>
            <w:vAlign w:val="top"/>
            <w:shd w:fill="FFFFFF"/>
          </w:tcPr>
          <w:p>
            <w:pPr>
              <w:spacing w:after="100" w:before="100" w:line="252" w:lineRule="auto"/>
            </w:pPr>
            <w:r>
              <w:rPr>
                <w:sz w:val="19"/>
              </w:rPr>
              <w:t>Открытой издательской/библиотечной идентификации и проверки доступной версии</w:t>
            </w:r>
          </w:p>
        </w:tc>
      </w:tr>
    </w:tbl>
    <w:p>
      <w:r>
        <w:t>Wikipedia не используется в итоговых URL, метаданных или правовых доказательствах. Wikimedia Commons в R049 играет другую роль: это item-level описание той же институциональной копии, а не энциклопедическое подтверждение авторства. Кандидаты из слабых указателей не получили разрешительных тегов.</w:t>
      </w:r>
    </w:p>
    <w:p>
      <w:pPr>
        <w:pStyle w:val="Heading2"/>
      </w:pPr>
      <w:r>
        <w:t>Что технически проверено, а что нет</w:t>
      </w:r>
    </w:p>
    <w:p>
      <w:r>
        <w:t>Проверены доступные страницы объектов, каталожные описания, лицензионные уведомления и элементы доступа. Полный OCR CAG XX открылся. Многие крупные PDF не извлеклись: среди них Пахимер R001, Метохит R013, Виссарион R018, историческое De operatione daemonum R049 и Схоларий R050. Поэтому файл не описывается как постранично просмотренный, даже если официальный сайт предлагает его загрузку.</w:t>
      </w:r>
    </w:p>
    <w:p>
      <w:r>
        <w:t>Часть предметных страниц издателей или каталогов оказалась технически недоступна инструменту; для R006, R007 и R053 это отражено в verification_status. Существование соответствующих изданий отделено от успешного извлечения конкретной страницы. Неоткрывшиеся API/просмотрщики не обходились, регистрация и платные действия не выполнялись.</w:t>
      </w:r>
    </w:p>
    <w:p>
      <w:r>
        <w:t>Обнаруженная кнопка Download обосновывает путь загрузки, но не отчёт об успешном скачивании и не проверку целостности. В отдельных карточках расходятся счётчики страниц, язык или поля прав. Сохраняются осторожные значения и пояснения вместо молчаливого исправления: пример — language=English у греческого CAG XX и разные счётчики скана De operatione daemonum.</w:t>
      </w:r>
      <w:r>
        <w:t xml:space="preserve"> </w:t>
      </w:r>
      <w:hyperlink r:id="rId17">
        <w:r>
          <w:rPr>
            <w:color w:val="21666A"/>
            <w:u w:val="single"/>
          </w:rPr>
          <w:t>[R049]</w:t>
        </w:r>
      </w:hyperlink>
      <w:r>
        <w:t xml:space="preserve">; </w:t>
      </w:r>
      <w:hyperlink r:id="rId18">
        <w:r>
          <w:rPr>
            <w:color w:val="21666A"/>
            <w:u w:val="single"/>
          </w:rPr>
          <w:t>[R051]</w:t>
        </w:r>
      </w:hyperlink>
    </w:p>
    <w:p>
      <w:pPr>
        <w:pStyle w:val="Caption"/>
        <w:spacing w:before="80"/>
      </w:pPr>
      <w:r>
        <w:t>Основные нерешённые правовые вопросы: границы лицензии импортируемых TEI; отсутствие открытого разрешения у русских переводов; условия BAV; сочетание CC-уведомления и ограниченного доступа DUTH; применимость американского public-domain статуса за пределами США.</w:t>
      </w:r>
    </w:p>
    <w:p>
      <w:r>
        <w:br w:type="page"/>
      </w:r>
    </w:p>
    <w:p>
      <w:pPr>
        <w:pStyle w:val="Heading1"/>
      </w:pPr>
      <w:r>
        <w:t>7. Итоговая оценка</w:t>
      </w:r>
    </w:p>
    <w:p>
      <w:r>
        <w:rPr>
          <w:b/>
        </w:rPr>
        <w:t xml:space="preserve">Покрытие корпуса. </w:t>
      </w:r>
      <w:r>
        <w:t>Покрыты все основные тематические семьи исходного DR хотя бы через конкретный путь доступа или явный пробел. При этом полнотекстовое покрытие неоднородно: сравнительно сильны отдельные этические комментарии, часть Метохита и русское чтение Паламы; слабы полные школьные корпуса Пселла, Итала и Влеммида, Philosophia Пахимера, синодальные документы и некоторые линии перевода.</w:t>
      </w:r>
    </w:p>
    <w:p>
      <w:r>
        <w:rPr>
          <w:b/>
        </w:rPr>
        <w:t xml:space="preserve">Оригиналы. </w:t>
      </w:r>
      <w:r>
        <w:t>Есть современный открытый греческий Пахимер, старый греческий CAG XX, лицензированный машиночитаемый пакет, отдельные рукописи и старопечатный латинский Виссарион. Это существенная база, но не единый полный корпус. Ряд греческих оригиналов доступен пока лишь через покупку, preview или каталожную идентификацию.</w:t>
      </w:r>
      <w:r>
        <w:t xml:space="preserve"> </w:t>
      </w:r>
      <w:hyperlink r:id="rId11">
        <w:r>
          <w:rPr>
            <w:color w:val="21666A"/>
            <w:u w:val="single"/>
          </w:rPr>
          <w:t>[R001]</w:t>
        </w:r>
      </w:hyperlink>
      <w:r>
        <w:t xml:space="preserve">; </w:t>
      </w:r>
      <w:hyperlink r:id="rId28">
        <w:r>
          <w:rPr>
            <w:color w:val="21666A"/>
            <w:u w:val="single"/>
          </w:rPr>
          <w:t>[R018]</w:t>
        </w:r>
      </w:hyperlink>
      <w:r>
        <w:t xml:space="preserve">; </w:t>
      </w:r>
      <w:hyperlink r:id="rId16">
        <w:r>
          <w:rPr>
            <w:color w:val="21666A"/>
            <w:u w:val="single"/>
          </w:rPr>
          <w:t>[R025]</w:t>
        </w:r>
      </w:hyperlink>
      <w:r>
        <w:t xml:space="preserve">; </w:t>
      </w:r>
      <w:hyperlink r:id="rId18">
        <w:r>
          <w:rPr>
            <w:color w:val="21666A"/>
            <w:u w:val="single"/>
          </w:rPr>
          <w:t>[R051]</w:t>
        </w:r>
      </w:hyperlink>
    </w:p>
    <w:p>
      <w:r>
        <w:rPr>
          <w:b/>
        </w:rPr>
        <w:t xml:space="preserve">Переводы. </w:t>
      </w:r>
      <w:r>
        <w:t>Сохранены русский, английский, итальянский, латинский и славянский маршруты; у ряда изданий присутствует французский научный аппарат. Полные двуязычные «Триады» 2025 года и современные переводы комментариев важны для чтения, но не для свободного зеркалирования. Старые английские Аристотель и Боэций полезны как вход в ранние источники, а не замена поздневизантийских версий.</w:t>
      </w:r>
      <w:r>
        <w:t xml:space="preserve"> </w:t>
      </w:r>
      <w:hyperlink r:id="rId12">
        <w:r>
          <w:rPr>
            <w:color w:val="21666A"/>
            <w:u w:val="single"/>
          </w:rPr>
          <w:t>[R008]</w:t>
        </w:r>
      </w:hyperlink>
      <w:r>
        <w:t xml:space="preserve">; </w:t>
      </w:r>
      <w:hyperlink r:id="rId40">
        <w:r>
          <w:rPr>
            <w:color w:val="21666A"/>
            <w:u w:val="single"/>
          </w:rPr>
          <w:t>[R015]</w:t>
        </w:r>
      </w:hyperlink>
      <w:r>
        <w:t xml:space="preserve">; </w:t>
      </w:r>
      <w:hyperlink r:id="rId41">
        <w:r>
          <w:rPr>
            <w:color w:val="21666A"/>
            <w:u w:val="single"/>
          </w:rPr>
          <w:t>[R016]</w:t>
        </w:r>
      </w:hyperlink>
      <w:r>
        <w:t xml:space="preserve">; </w:t>
      </w:r>
      <w:hyperlink r:id="rId63">
        <w:r>
          <w:rPr>
            <w:color w:val="21666A"/>
            <w:u w:val="single"/>
          </w:rPr>
          <w:t>[R034]</w:t>
        </w:r>
      </w:hyperlink>
      <w:r>
        <w:t xml:space="preserve">; </w:t>
      </w:r>
      <w:hyperlink r:id="rId29">
        <w:r>
          <w:rPr>
            <w:color w:val="21666A"/>
            <w:u w:val="single"/>
          </w:rPr>
          <w:t>[R040]</w:t>
        </w:r>
      </w:hyperlink>
      <w:r>
        <w:t xml:space="preserve">; </w:t>
      </w:r>
      <w:hyperlink r:id="rId22">
        <w:r>
          <w:rPr>
            <w:color w:val="21666A"/>
            <w:u w:val="single"/>
          </w:rPr>
          <w:t>[R043]</w:t>
        </w:r>
      </w:hyperlink>
      <w:r>
        <w:t xml:space="preserve">; </w:t>
      </w:r>
      <w:hyperlink r:id="rId25">
        <w:r>
          <w:rPr>
            <w:color w:val="21666A"/>
            <w:u w:val="single"/>
          </w:rPr>
          <w:t>[R044]</w:t>
        </w:r>
      </w:hyperlink>
    </w:p>
    <w:p>
      <w:r>
        <w:rPr>
          <w:b/>
        </w:rPr>
        <w:t xml:space="preserve">Наиболее свободный слой. </w:t>
      </w:r>
      <w:r>
        <w:t>Для практического начала: лицензированный текст R001 (CC BY 4.0) и исторический скан R049 (PDM). Для масштабируемого греческого текста — R025 после проверки компонентов и исполнения SA. Для некоммерческого неизменённого распространения — открытые тома Метохита и факсимиле Виссариона.</w:t>
      </w:r>
      <w:r>
        <w:t xml:space="preserve"> </w:t>
      </w:r>
      <w:hyperlink r:id="rId11">
        <w:r>
          <w:rPr>
            <w:color w:val="21666A"/>
            <w:u w:val="single"/>
          </w:rPr>
          <w:t>[R001]</w:t>
        </w:r>
      </w:hyperlink>
      <w:r>
        <w:t xml:space="preserve">; </w:t>
      </w:r>
      <w:hyperlink r:id="rId13">
        <w:r>
          <w:rPr>
            <w:color w:val="21666A"/>
            <w:u w:val="single"/>
          </w:rPr>
          <w:t>[R012]</w:t>
        </w:r>
      </w:hyperlink>
      <w:r>
        <w:t xml:space="preserve">; </w:t>
      </w:r>
      <w:hyperlink r:id="rId14">
        <w:r>
          <w:rPr>
            <w:color w:val="21666A"/>
            <w:u w:val="single"/>
          </w:rPr>
          <w:t>[R013]</w:t>
        </w:r>
      </w:hyperlink>
      <w:r>
        <w:t xml:space="preserve">; </w:t>
      </w:r>
      <w:hyperlink r:id="rId28">
        <w:r>
          <w:rPr>
            <w:color w:val="21666A"/>
            <w:u w:val="single"/>
          </w:rPr>
          <w:t>[R018]</w:t>
        </w:r>
      </w:hyperlink>
      <w:r>
        <w:t xml:space="preserve">; </w:t>
      </w:r>
      <w:hyperlink r:id="rId16">
        <w:r>
          <w:rPr>
            <w:color w:val="21666A"/>
            <w:u w:val="single"/>
          </w:rPr>
          <w:t>[R025]</w:t>
        </w:r>
      </w:hyperlink>
      <w:r>
        <w:t xml:space="preserve">; </w:t>
      </w:r>
      <w:hyperlink r:id="rId17">
        <w:r>
          <w:rPr>
            <w:color w:val="21666A"/>
            <w:u w:val="single"/>
          </w:rPr>
          <w:t>[R049]</w:t>
        </w:r>
      </w:hyperlink>
    </w:p>
    <w:p>
      <w:r>
        <w:rPr>
          <w:b/>
        </w:rPr>
        <w:t xml:space="preserve">Главные ограничения. </w:t>
      </w:r>
      <w:r>
        <w:t>Защищённые переводы и критические редакции; неполные корпуса; неоднозначность прав на цифровые свидетели; закрытые или технически неоткрывшиеся файлы; необходимость различать современную реконструкцию, исторический печатный текст и OCR.</w:t>
      </w:r>
    </w:p>
    <w:p>
      <w:pPr>
        <w:pStyle w:val="Heading2"/>
      </w:pPr>
      <w:r>
        <w:t>Пригодность для передачи Codex</w:t>
      </w:r>
    </w:p>
    <w:p>
      <w:r>
        <w:t>Пакет пригоден как исследовательский вход для последующей дедупликации и нормализации. XLSX содержит предметные URL, четыре правовых слоя, ограниченное покрытие, степень проверки и конкретные пробелы. Он не является списком заранее разрешённых операций массового скачивания, индексирования или публикации.</w:t>
      </w:r>
    </w:p>
    <w:p>
      <w:r>
        <w:t>Практическое чтение строки следует начинать с verification_status, затем проверять access_mode и coverage, после этого — rights_scope, rights_evidence_url и notes. Только затем интерпретировать tos_use. Наличие LINK_OK или FREE_DOWNLOAD не даёт производного MIRROR_OK; наличие RIGHTS_REVIEW_REQUIRED блокирует действие за пределами доказанного компонента.</w:t>
      </w:r>
    </w:p>
    <w:p>
      <w:pPr>
        <w:pStyle w:val="Heading2"/>
      </w:pPr>
      <w:r>
        <w:t>Состав поставки</w:t>
      </w:r>
    </w:p>
    <w:p>
      <w:r>
        <w:t>ToS_Corpus_Rights_T2-03_registry.xlsx — лист registry: 57 записей, 32 заданных поля; лист gaps: 51 задача проверки. Первый столбец registry — record_id. Строки полного корпуса, отдельных томов, переводов, свидетелей и инфраструктуры не смешиваются при подсчёте.</w:t>
      </w:r>
    </w:p>
    <w:p>
      <w:r>
        <w:t>ToS_Corpus_Rights_T2-03_report.docx — настоящий отчёт: карта покрытия, лучшие входы, правовые группы, хронологический ореол и приоритеты дальнейшего поиска. Подробные сведения о каждой находке остаются в XLSX; исходный DR не изменён.</w:t>
      </w:r>
    </w:p>
    <w:p>
      <w:pPr>
        <w:pStyle w:val="Caption"/>
        <w:spacing w:before="80"/>
      </w:pPr>
      <w:r>
        <w:t>Контрольная дата — 4 сентября 2026 года. Изменения доступности и условий после этой даты требуют повторной проверки. В пакет не включены скачанные произведения, программный конвейер, граф, отдельный manifest или технический отчёт.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134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T2-03  ·  04.09.2026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TREE OF SOPHIA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6" w:lineRule="auto" w:after="120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93B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9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93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color w:val="193B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2166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66" w:lineRule="auto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26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uplopen.com/books/m/10.1515/9783110643060" TargetMode="External"/><Relationship Id="rId12" Type="http://schemas.openxmlformats.org/officeDocument/2006/relationships/hyperlink" Target="https://svspress.com/the-triads/" TargetMode="External"/><Relationship Id="rId13" Type="http://schemas.openxmlformats.org/officeDocument/2006/relationships/hyperlink" Target="https://www.jstor.org/stable/j.ctv1vmnkh0" TargetMode="External"/><Relationship Id="rId14" Type="http://schemas.openxmlformats.org/officeDocument/2006/relationships/hyperlink" Target="https://kriterium.se/en/books/m/10.21524/kriterium.5" TargetMode="External"/><Relationship Id="rId15" Type="http://schemas.openxmlformats.org/officeDocument/2006/relationships/hyperlink" Target="https://www.brepols.net/products/IS-9782503614656-1" TargetMode="External"/><Relationship Id="rId16" Type="http://schemas.openxmlformats.org/officeDocument/2006/relationships/hyperlink" Target="https://github.com/OpenGreekAndLatin/First1KGreek/releases" TargetMode="External"/><Relationship Id="rId17" Type="http://schemas.openxmlformats.org/officeDocument/2006/relationships/hyperlink" Target="https://archive.org/details/b29293285" TargetMode="External"/><Relationship Id="rId18" Type="http://schemas.openxmlformats.org/officeDocument/2006/relationships/hyperlink" Target="https://archive.org/details/commentariaina20akaduoft" TargetMode="External"/><Relationship Id="rId19" Type="http://schemas.openxmlformats.org/officeDocument/2006/relationships/hyperlink" Target="https://www.mohrsiebeck.com/en/book/barlaam-of-seminara-on-stoic-ethics-9783161615641" TargetMode="External"/><Relationship Id="rId20" Type="http://schemas.openxmlformats.org/officeDocument/2006/relationships/hyperlink" Target="https://www.bloomsbury.com/uk/aspasius-on-aristotle-nicomachean-ethics-14-78-9780715635735/" TargetMode="External"/><Relationship Id="rId21" Type="http://schemas.openxmlformats.org/officeDocument/2006/relationships/hyperlink" Target="https://www.cuapress.org/9780813209685/writings/" TargetMode="External"/><Relationship Id="rId22" Type="http://schemas.openxmlformats.org/officeDocument/2006/relationships/hyperlink" Target="https://www.gutenberg.org/ebooks/8438" TargetMode="External"/><Relationship Id="rId23" Type="http://schemas.openxmlformats.org/officeDocument/2006/relationships/hyperlink" Target="https://www.vrin.fr/livre/9782711692262/refutation-of-proclus-elements-of-theology" TargetMode="External"/><Relationship Id="rId24" Type="http://schemas.openxmlformats.org/officeDocument/2006/relationships/hyperlink" Target="https://academic.oup.com/book/54551" TargetMode="External"/><Relationship Id="rId25" Type="http://schemas.openxmlformats.org/officeDocument/2006/relationships/hyperlink" Target="https://www.gutenberg.org/ebooks/14328" TargetMode="External"/><Relationship Id="rId26" Type="http://schemas.openxmlformats.org/officeDocument/2006/relationships/hyperlink" Target="https://azbyka.ru/otechnik/Grigorij_Palama/tvorenija-grigorija-palamy-arhiepiskopa-fessalonitskogo/" TargetMode="External"/><Relationship Id="rId27" Type="http://schemas.openxmlformats.org/officeDocument/2006/relationships/hyperlink" Target="https://www.overdrive.com/media/588526/the-philokalia-volume-4" TargetMode="External"/><Relationship Id="rId28" Type="http://schemas.openxmlformats.org/officeDocument/2006/relationships/hyperlink" Target="https://gredos.usal.es/handle/10366/82470?locale-attribute=de&amp;show=full" TargetMode="External"/><Relationship Id="rId29" Type="http://schemas.openxmlformats.org/officeDocument/2006/relationships/hyperlink" Target="https://www.brepols.net/products/ON-M1-F1-02011033-1" TargetMode="External"/><Relationship Id="rId30" Type="http://schemas.openxmlformats.org/officeDocument/2006/relationships/hyperlink" Target="https://www.brepols.net/products/IS-9789061864691-1" TargetMode="External"/><Relationship Id="rId31" Type="http://schemas.openxmlformats.org/officeDocument/2006/relationships/hyperlink" Target="https://books.google.com/books/about/De_omnifaria_doctrina.html?id=bsJJAAAAMAAJ" TargetMode="External"/><Relationship Id="rId32" Type="http://schemas.openxmlformats.org/officeDocument/2006/relationships/hyperlink" Target="https://search.worldcat.org/title/Michaelis-Pselli-Philosophica-minora/oclc/20685343" TargetMode="External"/><Relationship Id="rId33" Type="http://schemas.openxmlformats.org/officeDocument/2006/relationships/hyperlink" Target="https://openlibrary.org/books/OL1914151M/Michaelis_Pselli_Philosophica_minora" TargetMode="External"/><Relationship Id="rId34" Type="http://schemas.openxmlformats.org/officeDocument/2006/relationships/hyperlink" Target="https://www.degruyterbrill.com/document/doi/10.1515/9783110625011/html" TargetMode="External"/><Relationship Id="rId35" Type="http://schemas.openxmlformats.org/officeDocument/2006/relationships/hyperlink" Target="https://digi.vatlib.it/view/MSS_Barb.gr.240/0040" TargetMode="External"/><Relationship Id="rId36" Type="http://schemas.openxmlformats.org/officeDocument/2006/relationships/hyperlink" Target="https://bibliopolis.it/shop/epistola-a-michele-cerulario/" TargetMode="External"/><Relationship Id="rId37" Type="http://schemas.openxmlformats.org/officeDocument/2006/relationships/hyperlink" Target="https://museumbollandianum.be/records/31005" TargetMode="External"/><Relationship Id="rId38" Type="http://schemas.openxmlformats.org/officeDocument/2006/relationships/hyperlink" Target="https://books.google.com/books/about/Ioannis_Itali_opera.html?id=OxYQzgEACAAJ" TargetMode="External"/><Relationship Id="rId39" Type="http://schemas.openxmlformats.org/officeDocument/2006/relationships/hyperlink" Target="https://github.com/OpenGreekAndLatin/cag-dev" TargetMode="External"/><Relationship Id="rId40" Type="http://schemas.openxmlformats.org/officeDocument/2006/relationships/hyperlink" Target="https://www.bloomsbury.com/us/michael-of-ephesus-on-aristotles-nicomachean-ethics-10-with-themistius-on-virtue-9781350085077/" TargetMode="External"/><Relationship Id="rId41" Type="http://schemas.openxmlformats.org/officeDocument/2006/relationships/hyperlink" Target="https://www.bloomsbury.com/uk/aspasius-michael-of-ephesus-anonymous-on-aristotle-nicomachean-ethics-89-9781780939094/" TargetMode="External"/><Relationship Id="rId42" Type="http://schemas.openxmlformats.org/officeDocument/2006/relationships/hyperlink" Target="https://www.degruyterbrill.com/document/doi/10.1515/9783110802801/html" TargetMode="External"/><Relationship Id="rId43" Type="http://schemas.openxmlformats.org/officeDocument/2006/relationships/hyperlink" Target="https://www.vrin.fr/livre/9782870601679/commentary-in-aristotles-meteorologica" TargetMode="External"/><Relationship Id="rId44" Type="http://schemas.openxmlformats.org/officeDocument/2006/relationships/hyperlink" Target="https://www.csmc.uni-hamburg.de/research/affiliated-projects/blemmydes.html" TargetMode="External"/><Relationship Id="rId45" Type="http://schemas.openxmlformats.org/officeDocument/2006/relationships/hyperlink" Target="https://catalogo.fscire.it/detail/3285115/" TargetMode="External"/><Relationship Id="rId46" Type="http://schemas.openxmlformats.org/officeDocument/2006/relationships/hyperlink" Target="https://www.cambridge.org/core/books/nicephori-gregorae-byzantina-historia/7BB5D930CFA937FAEF95D926A2AE30B5" TargetMode="External"/><Relationship Id="rId47" Type="http://schemas.openxmlformats.org/officeDocument/2006/relationships/hyperlink" Target="https://bibliopolis.it/shop/fiorenzo-o-intorno-alla-sapienza/" TargetMode="External"/><Relationship Id="rId48" Type="http://schemas.openxmlformats.org/officeDocument/2006/relationships/hyperlink" Target="https://azbyka.ru/otechnik/Grigorij_Palama/triady-v-zashhitu-svjashhenno-bezmolvstvujushhih/" TargetMode="External"/><Relationship Id="rId49" Type="http://schemas.openxmlformats.org/officeDocument/2006/relationships/hyperlink" Target="https://azbyka.ru/otechnik/Grigorij_Palama/svjatogorskij-tomos/" TargetMode="External"/><Relationship Id="rId50" Type="http://schemas.openxmlformats.org/officeDocument/2006/relationships/hyperlink" Target="https://azbyka.ru/otechnik/Grigorij_Palama/sto-pjatdesjat-glav-posvjashennyh-voprosam-estestvennonauchnym-bogoslovskim-i-nravstvennym/" TargetMode="External"/><Relationship Id="rId51" Type="http://schemas.openxmlformats.org/officeDocument/2006/relationships/hyperlink" Target="https://azbyka.ru/otechnik/Grigorij_Palama/Antirretiki_protiv_Akindina_Pervoe_iz_slov/" TargetMode="External"/><Relationship Id="rId52" Type="http://schemas.openxmlformats.org/officeDocument/2006/relationships/hyperlink" Target="https://azbyka.ru/otechnik/Grigorij_Palama/Sobesedovanie_pravoslavnogo_s_varlaamitom_podrobno_oprovergaushee_varlaamitskoe_zablugdenie/" TargetMode="External"/><Relationship Id="rId53" Type="http://schemas.openxmlformats.org/officeDocument/2006/relationships/hyperlink" Target="https://azbyka.ru/otechnik/Grigorij_Palama/Pismo_k_Akindinu_poslannoe_iz_Fessaloniki_pregde_sobornogo_osugdenia/" TargetMode="External"/><Relationship Id="rId54" Type="http://schemas.openxmlformats.org/officeDocument/2006/relationships/hyperlink" Target="https://azbyka.ru/otechnik/Grigorij_Palama/homilia/" TargetMode="External"/><Relationship Id="rId55" Type="http://schemas.openxmlformats.org/officeDocument/2006/relationships/hyperlink" Target="https://www.paulistpress.com/Products/2447-5/gregory-palamas.aspx" TargetMode="External"/><Relationship Id="rId56" Type="http://schemas.openxmlformats.org/officeDocument/2006/relationships/hyperlink" Target="https://books.google.com/books/about/The_One_Hundred_and_Fifty_Chapters.html?id=17RlA5NryYEC" TargetMode="External"/><Relationship Id="rId57" Type="http://schemas.openxmlformats.org/officeDocument/2006/relationships/hyperlink" Target="https://www.brepols.net/products/IS-9782503403113-1" TargetMode="External"/><Relationship Id="rId58" Type="http://schemas.openxmlformats.org/officeDocument/2006/relationships/hyperlink" Target="https://books.google.com/books/about/Letters_of_Gregory_Akindynos.html?id=3iLZAAAAMAAJ" TargetMode="External"/><Relationship Id="rId59" Type="http://schemas.openxmlformats.org/officeDocument/2006/relationships/hyperlink" Target="https://catalogue.bnf.fr/ark:/12148/cb31763523q" TargetMode="External"/><Relationship Id="rId60" Type="http://schemas.openxmlformats.org/officeDocument/2006/relationships/hyperlink" Target="https://digi.vatlib.it/view/MSS_Pal.gr.235" TargetMode="External"/><Relationship Id="rId61" Type="http://schemas.openxmlformats.org/officeDocument/2006/relationships/hyperlink" Target="https://repo.lib.duth.gr/jspui/handle/123456789/6947" TargetMode="External"/><Relationship Id="rId62" Type="http://schemas.openxmlformats.org/officeDocument/2006/relationships/hyperlink" Target="https://www.vrin.fr/livre/9789004087026/traite-des-vertus" TargetMode="External"/><Relationship Id="rId63" Type="http://schemas.openxmlformats.org/officeDocument/2006/relationships/hyperlink" Target="https://www.raffaellieditore.com/giorgio_gemisto_pletone_de_differentiis" TargetMode="External"/><Relationship Id="rId64" Type="http://schemas.openxmlformats.org/officeDocument/2006/relationships/hyperlink" Target="https://ci.nii.ac.jp/ncid/BB12404336" TargetMode="External"/><Relationship Id="rId65" Type="http://schemas.openxmlformats.org/officeDocument/2006/relationships/hyperlink" Target="https://creativecommons.org/licenses/by-nc-nd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T2-03</dc:title>
  <dc:subject>Поздневизантийский корпус: доступ, версии, свидетели и права</dc:subject>
  <dc:creator>ToS / Древо Софии</dc:creator>
  <cp:keywords>T2-03, Byzantine philosophy, corpus, rights, sources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