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ToS Corpus &amp; Rights Registry</w:t>
      </w:r>
    </w:p>
    <w:p>
      <w:pPr>
        <w:pStyle w:val="Subtitle"/>
      </w:pPr>
      <w:r>
        <w:t>T2-47 · Корея: буддийская и конфуцианская</w:t>
        <w:br/>
        <w:t>письменная философия до 1500</w:t>
      </w:r>
    </w:p>
    <w:tbl>
      <w:tblPr>
        <w:tblW w:type="auto" w:w="0"/>
        <w:jc w:val="center"/>
        <w:tblLook w:firstColumn="1" w:firstRow="1" w:lastColumn="0" w:lastRow="0" w:noHBand="0" w:noVBand="1" w:val="04A0"/>
      </w:tblPr>
      <w:tblGrid>
        <w:gridCol w:w="3251"/>
        <w:gridCol w:w="3251"/>
        <w:gridCol w:w="3251"/>
      </w:tblGrid>
      <w:tr>
        <w:tc>
          <w:tcPr>
            <w:tcW w:type="dxa" w:w="3251"/>
            <w:vAlign w:val="center"/>
            <w:shd w:fill="EAF1F2"/>
          </w:tcPr>
          <w:p>
            <w:pPr>
              <w:spacing w:after="100" w:before="100"/>
            </w:pPr>
            <w:r>
              <w:rPr>
                <w:b/>
                <w:color w:val="173C47"/>
                <w:sz w:val="24"/>
              </w:rPr>
              <w:t>77</w:t>
              <w:br/>
              <w:t>способов доступа</w:t>
            </w:r>
          </w:p>
        </w:tc>
        <w:tc>
          <w:tcPr>
            <w:tcW w:type="dxa" w:w="3251"/>
            <w:vAlign w:val="center"/>
            <w:shd w:fill="EAF1F2"/>
          </w:tcPr>
          <w:p>
            <w:pPr>
              <w:spacing w:after="100" w:before="100"/>
            </w:pPr>
            <w:r>
              <w:rPr>
                <w:b/>
                <w:color w:val="173C47"/>
                <w:sz w:val="24"/>
              </w:rPr>
              <w:t>32</w:t>
              <w:br/>
              <w:t>исследовательских пробела</w:t>
            </w:r>
          </w:p>
        </w:tc>
        <w:tc>
          <w:tcPr>
            <w:tcW w:type="dxa" w:w="3251"/>
            <w:vAlign w:val="center"/>
            <w:shd w:fill="EAF1F2"/>
          </w:tcPr>
          <w:p>
            <w:pPr>
              <w:spacing w:after="100" w:before="100"/>
            </w:pPr>
            <w:r>
              <w:rPr>
                <w:b/>
                <w:color w:val="173C47"/>
                <w:sz w:val="24"/>
              </w:rPr>
              <w:t>A</w:t>
              <w:br/>
              <w:t>исходный статус</w:t>
            </w:r>
          </w:p>
        </w:tc>
      </w:tr>
    </w:tbl>
    <w:p>
      <w:r>
        <w:rPr>
          <w:b w:val="0"/>
        </w:rPr>
      </w:r>
      <w:r>
        <w:rPr>
          <w:b/>
        </w:rPr>
        <w:t>Главный результат.</w:t>
      </w:r>
      <w:r>
        <w:rPr>
          <w:b w:val="0"/>
        </w:rPr>
        <w:t xml:space="preserve"> Сильнее всего покрыты английские переводы корейского буддийского корпуса и ханмунные тексты в CBETA. Для некоммерческого размещения найдены лицензированные PDF; для программного поиска — XML. Конфуцианские оригиналы, конкретные факсимиле и полный корёский канон покрыты неравномерно. Каталожная запись, бесплатный файл и право публичного повторного использования в пакете не отождествляются.</w:t>
      </w:r>
    </w:p>
    <w:p>
      <w:r>
        <w:rPr>
          <w:b w:val="0"/>
        </w:rPr>
        <w:t xml:space="preserve">Сопровождающий файл: </w:t>
      </w:r>
      <w:r>
        <w:rPr>
          <w:b/>
        </w:rPr>
        <w:t>ToS_Corpus_Rights_T2-47_registry.xlsx</w:t>
      </w:r>
      <w:r>
        <w:rPr>
          <w:b w:val="0"/>
        </w:rPr>
        <w:t>. Обозначения [R001]–[R077] отсылают к record_id T2-47-R001–T2-47-R077 и открывают страницу соответствующего доступа; G001–G032 — строки листа gaps. Полные URL, границы покрытия и доказательства прав находятся в XLSX.</w:t>
      </w:r>
    </w:p>
    <w:p>
      <w:pPr>
        <w:pStyle w:val="Heading1"/>
      </w:pPr>
      <w:r>
        <w:t>1. Паспорт</w:t>
      </w:r>
    </w:p>
    <w:p>
      <w:r>
        <w:rPr>
          <w:b w:val="0"/>
        </w:rPr>
      </w:r>
      <w:r>
        <w:rPr>
          <w:b/>
        </w:rPr>
        <w:t>Строка и исходник.</w:t>
      </w:r>
      <w:r>
        <w:rPr>
          <w:b w:val="0"/>
        </w:rPr>
        <w:t xml:space="preserve"> T2-47, «Корея: буддийская и конфуцианская письменная философия до 1500»; исходный статус A, уверенность исходного DR — 4/5. Использован прикреплённый документ «ToS Deep Research_ T2-47 — Корея_ буддийская и конфуцианская письменная философия до 1500(1).docx». Историческое ядро VII–XV вв., фиксация/передача VIII–XV вв., канонизация/комментарий XIII–XV вв. сохранены как паспорт мастер-строки, а не как ограничитель библиографии. Сам DR не редактировался.</w:t>
      </w:r>
    </w:p>
    <w:p>
      <w:r>
        <w:rPr>
          <w:b w:val="0"/>
        </w:rPr>
      </w:r>
      <w:r>
        <w:rPr>
          <w:b/>
        </w:rPr>
        <w:t>Дата и языки.</w:t>
      </w:r>
      <w:r>
        <w:rPr>
          <w:b w:val="0"/>
        </w:rPr>
        <w:t xml:space="preserve"> Проверка выполнена 5 сентября 2026 года. Поиск использовал русский, английский, корейский, китайские названия и канонические номера; японские названия и варианты транслитерации — для линий сохранения. Для объектов BnF читались также французские институциональные описания. Даты переводов и печатных свидетелей отделены от времени создания произведений.</w:t>
      </w:r>
    </w:p>
    <w:p>
      <w:r>
        <w:rPr>
          <w:b w:val="0"/>
        </w:rPr>
      </w:r>
      <w:r>
        <w:rPr>
          <w:b/>
        </w:rPr>
        <w:t>Ядро из DR.</w:t>
      </w:r>
      <w:r>
        <w:rPr>
          <w:b w:val="0"/>
        </w:rPr>
        <w:t xml:space="preserve"> Вонхё: комментарии к «Пробуждению веры», Vajrasamādhi и фрагментарный Simmun hwajaeng non; Ыйсан: диаграмма единой колесницы; Ыйчхон: каталог Kyojang и авторский корпус; Tripitaka Koreana; Чинуль: Susim kyŏl и связанные трактаты; Квон Кын: Iphak tosŏl; Чон Тоджон: Pulssi chappyŏn и Simgiri p’yŏn; Кихва: Hyŏnjŏng-non. Историографические свидетельства, эпиграфика и Hunminjeongeum приняты как линии сохранения и границы медиума, а не как замена философским текстам.</w:t>
      </w:r>
    </w:p>
    <w:p>
      <w:r>
        <w:rPr>
          <w:b w:val="0"/>
        </w:rPr>
      </w:r>
      <w:r>
        <w:rPr>
          <w:b/>
        </w:rPr>
        <w:t>Объекты и доказательства.</w:t>
      </w:r>
      <w:r>
        <w:rPr>
          <w:b w:val="0"/>
        </w:rPr>
        <w:t xml:space="preserve"> Проверялись произведения, сборники, критические издания, переводы, рукописи, старопечатные свидетели, цифровые тексты, факсимиле и пакеты данных. Для доступа использованы издатели и участники издания, университетские репозитории, национальные библиотеки и академические базы. Библиографические данные сверялись по титульным листам, оглавлениям, XML-заголовкам и каталожным номерам. Права — по официальным лицензиям, разрешениям автора, условиям репозитория и уведомлениям в файлах. Карточка без лицензии не превращалась в разрешение на зеркало.</w:t>
      </w:r>
    </w:p>
    <w:p>
      <w:r>
        <w:rPr>
          <w:b w:val="0"/>
        </w:rPr>
      </w:r>
      <w:r>
        <w:rPr>
          <w:b/>
        </w:rPr>
        <w:t>Граница доказанности.</w:t>
      </w:r>
      <w:r>
        <w:rPr>
          <w:b w:val="0"/>
        </w:rPr>
        <w:t xml:space="preserve"> Сведения DR служили поисковыми ориентирами; новые маршруты и уточнения происходят из веб-проверки. Неподтверждённые приписывания Jinsim jikseol и комментария к «Песни о просветлении», встреченные через агрегатор, вынесены в G031. Они не включены как установленные сочинения Чинуля. Ошибки загрузки фиксируются как результат данного запуска, а не доказательство исчезновения сайта.</w:t>
      </w:r>
    </w:p>
    <w:p>
      <w:pPr>
        <w:pStyle w:val="Heading1"/>
      </w:pPr>
      <w:r>
        <w:t>2. Охват корпуса</w:t>
      </w:r>
    </w:p>
    <w:p>
      <w:pPr>
        <w:pStyle w:val="Heading2"/>
      </w:pPr>
      <w:r>
        <w:t>2.1. Объём без смешения произведений и ссылок</w:t>
      </w:r>
    </w:p>
    <w:p>
      <w:r>
        <w:rPr>
          <w:b w:val="0"/>
        </w:rPr>
        <w:t xml:space="preserve">Реестр содержит </w:t>
      </w:r>
      <w:r>
        <w:rPr>
          <w:b/>
        </w:rPr>
        <w:t>77 практически различимых маршрутов</w:t>
      </w:r>
      <w:r>
        <w:rPr>
          <w:b w:val="0"/>
        </w:rPr>
        <w:t xml:space="preserve">: 74 привязаны к изданиям, текстам, собраниям или свидетелям, 3 — к инфраструктуре. За ними стоит </w:t>
      </w:r>
      <w:r>
        <w:rPr>
          <w:b/>
        </w:rPr>
        <w:t>не менее 50 именованных произведений и сборников</w:t>
      </w:r>
      <w:r>
        <w:rPr>
          <w:b w:val="0"/>
        </w:rPr>
        <w:t>, включая самостоятельные тексты внутри антологий. Это консервативная нижняя оценка, а не итог нормализации всего корейского корпуса. Повторные версии одного произведения не считаются новыми произведениями. Два тома Gongan Collections — два файла доступа к одному сборнику, а не два независимых корпуса.</w:t>
      </w:r>
      <w:r>
        <w:t xml:space="preserve"> </w:t>
      </w:r>
      <w:hyperlink r:id="rId11">
        <w:r>
          <w:rPr>
            <w:color w:val="1D6977"/>
            <w:sz w:val="18"/>
          </w:rPr>
          <w:t>[R008]</w:t>
        </w:r>
      </w:hyperlink>
      <w:r>
        <w:t xml:space="preserve"> </w:t>
      </w:r>
      <w:hyperlink r:id="rId12">
        <w:r>
          <w:rPr>
            <w:color w:val="1D6977"/>
            <w:sz w:val="18"/>
          </w:rPr>
          <w:t>[R009]</w:t>
        </w:r>
      </w:hyperlink>
      <w:r>
        <w:t xml:space="preserve"> </w:t>
      </w:r>
      <w:hyperlink r:id="rId13">
        <w:r>
          <w:rPr>
            <w:color w:val="1D6977"/>
            <w:sz w:val="18"/>
          </w:rPr>
          <w:t>[R022]</w:t>
        </w:r>
      </w:hyperlink>
    </w:p>
    <w:p>
      <w:r>
        <w:rPr>
          <w:b w:val="0"/>
        </w:rPr>
        <w:t xml:space="preserve">По основной релевантности: core — 31; same_corpus_or_tradition — 17; antecedent — 13; transmission_or_preservation — 9; commentary_or_reception — 2; continuation — 1; boundary — 1; infrastructure — 3. Отдельные supporting и secondary_navigation записи не добавлялись ради численного охвата. Лист gaps содержит </w:t>
      </w:r>
      <w:r>
        <w:rPr>
          <w:b/>
        </w:rPr>
        <w:t>32 конкретных пробела</w:t>
      </w:r>
      <w:r>
        <w:rPr>
          <w:b w:val="0"/>
        </w:rPr>
        <w:t>, не 32 доказанно утраченных произведения.</w:t>
      </w:r>
    </w:p>
    <w:p>
      <w:r>
        <w:rPr>
          <w:b w:val="0"/>
        </w:rPr>
        <w:t>В 44 маршрутах отмечено бесплатное полное чтение указанного цифрового объекта, в 51 — бесплатная загрузка, в 14 — покупка, в 4 — институциональный доступ; признаки совмещаются. «Полное чтение» относится к доступному изданию или файлу: антология может быть целиком открыта, оставаясь выборкой исходного корпуса. Для части загрузок проверена официальная кнопка, но не весь бинарный файл; это отражено в verification_status.</w:t>
      </w:r>
    </w:p>
    <w:p>
      <w:pPr>
        <w:pStyle w:val="Heading2"/>
      </w:pPr>
      <w:r>
        <w:t>2.2. Добавления к карте исходного DR</w:t>
      </w:r>
    </w:p>
    <w:p>
      <w:r>
        <w:rPr>
          <w:b w:val="0"/>
        </w:rPr>
      </w:r>
      <w:r>
        <w:rPr>
          <w:b/>
        </w:rPr>
        <w:t>Вонхё расширен до конкретных текстовых линий.</w:t>
      </w:r>
      <w:r>
        <w:rPr>
          <w:b w:val="0"/>
        </w:rPr>
        <w:t xml:space="preserve"> Помимо комментариев к «Пробуждению веры» и Vajrasamādhi найдены оригиналы Beophwa jongyo, Muryangsugyeong jongyo, наставления о соблюдении бодхисаттвенных предписаний, текста шести покаяний и Maitreya jongyo. Современное научное издание Wŏnhyo’s Philosophy of Mind даёт доступ к Ijang ui, Simmun hwajaeng non, комментарию к Madhyāntavibhāga и Pan biryang non. Фрагментарность и реконструкция не скрыты под общей формулой «полный Вонхё».</w:t>
      </w:r>
      <w:r>
        <w:t xml:space="preserve"> </w:t>
      </w:r>
      <w:hyperlink r:id="rId14">
        <w:r>
          <w:rPr>
            <w:color w:val="1D6977"/>
            <w:sz w:val="18"/>
          </w:rPr>
          <w:t>[R015]</w:t>
        </w:r>
      </w:hyperlink>
      <w:r>
        <w:t xml:space="preserve"> </w:t>
      </w:r>
      <w:hyperlink r:id="rId15">
        <w:r>
          <w:rPr>
            <w:color w:val="1D6977"/>
            <w:sz w:val="18"/>
          </w:rPr>
          <w:t>[R016]</w:t>
        </w:r>
      </w:hyperlink>
      <w:r>
        <w:t xml:space="preserve"> </w:t>
      </w:r>
      <w:hyperlink r:id="rId16">
        <w:r>
          <w:rPr>
            <w:color w:val="1D6977"/>
            <w:sz w:val="18"/>
          </w:rPr>
          <w:t>[R021]</w:t>
        </w:r>
      </w:hyperlink>
      <w:r>
        <w:t xml:space="preserve"> </w:t>
      </w:r>
      <w:hyperlink r:id="rId17">
        <w:r>
          <w:rPr>
            <w:color w:val="1D6977"/>
            <w:sz w:val="18"/>
          </w:rPr>
          <w:t>[R048]</w:t>
        </w:r>
      </w:hyperlink>
      <w:r>
        <w:t xml:space="preserve"> </w:t>
      </w:r>
      <w:hyperlink r:id="rId18">
        <w:r>
          <w:rPr>
            <w:color w:val="1D6977"/>
            <w:sz w:val="18"/>
          </w:rPr>
          <w:t>[R049]</w:t>
        </w:r>
      </w:hyperlink>
      <w:r>
        <w:t xml:space="preserve"> </w:t>
      </w:r>
      <w:hyperlink r:id="rId19">
        <w:r>
          <w:rPr>
            <w:color w:val="1D6977"/>
            <w:sz w:val="18"/>
          </w:rPr>
          <w:t>[R050]</w:t>
        </w:r>
      </w:hyperlink>
      <w:r>
        <w:t xml:space="preserve"> </w:t>
      </w:r>
      <w:hyperlink r:id="rId20">
        <w:r>
          <w:rPr>
            <w:color w:val="1D6977"/>
            <w:sz w:val="18"/>
          </w:rPr>
          <w:t>[R055]</w:t>
        </w:r>
      </w:hyperlink>
      <w:r>
        <w:t xml:space="preserve"> </w:t>
      </w:r>
      <w:hyperlink r:id="rId21">
        <w:r>
          <w:rPr>
            <w:color w:val="1D6977"/>
            <w:sz w:val="18"/>
          </w:rPr>
          <w:t>[R073]</w:t>
        </w:r>
      </w:hyperlink>
      <w:r>
        <w:t xml:space="preserve"> </w:t>
      </w:r>
      <w:hyperlink r:id="rId22">
        <w:r>
          <w:rPr>
            <w:color w:val="1D6977"/>
            <w:sz w:val="18"/>
          </w:rPr>
          <w:t>[R074]</w:t>
        </w:r>
      </w:hyperlink>
    </w:p>
    <w:p>
      <w:r>
        <w:rPr>
          <w:b w:val="0"/>
        </w:rPr>
      </w:r>
      <w:r>
        <w:rPr>
          <w:b/>
        </w:rPr>
        <w:t>Школьный круг не сводится к четырём авторам.</w:t>
      </w:r>
      <w:r>
        <w:rPr>
          <w:b w:val="0"/>
        </w:rPr>
        <w:t xml:space="preserve"> Добавлены Пхёвон, Мёнхё, Кюнё, Вончхык, Тэхён, Кёнхын, Чегван и Чевон: комментарии к Hwaŏm, Saṃdhinirmocana, Cheng weishi lun, Maitreya и Brahmā’s Net. Их связь — конкретный комментарийный или учебный корпус, а не просто принадлежность к корейскому буддизму. Для части доступен ханмунный XML, для части — только переводные выборки.</w:t>
      </w:r>
      <w:r>
        <w:t xml:space="preserve"> </w:t>
      </w:r>
      <w:hyperlink r:id="rId23">
        <w:r>
          <w:rPr>
            <w:color w:val="1D6977"/>
            <w:sz w:val="18"/>
          </w:rPr>
          <w:t>[R005]</w:t>
        </w:r>
      </w:hyperlink>
      <w:r>
        <w:t xml:space="preserve"> </w:t>
      </w:r>
      <w:hyperlink r:id="rId24">
        <w:r>
          <w:rPr>
            <w:color w:val="1D6977"/>
            <w:sz w:val="18"/>
          </w:rPr>
          <w:t>[R006]</w:t>
        </w:r>
      </w:hyperlink>
      <w:r>
        <w:t xml:space="preserve"> </w:t>
      </w:r>
      <w:hyperlink r:id="rId25">
        <w:r>
          <w:rPr>
            <w:color w:val="1D6977"/>
            <w:sz w:val="18"/>
          </w:rPr>
          <w:t>[R007]</w:t>
        </w:r>
      </w:hyperlink>
      <w:r>
        <w:t xml:space="preserve"> </w:t>
      </w:r>
      <w:hyperlink r:id="rId26">
        <w:r>
          <w:rPr>
            <w:color w:val="1D6977"/>
            <w:sz w:val="18"/>
          </w:rPr>
          <w:t>[R013]</w:t>
        </w:r>
      </w:hyperlink>
      <w:r>
        <w:t xml:space="preserve"> </w:t>
      </w:r>
      <w:hyperlink r:id="rId27">
        <w:r>
          <w:rPr>
            <w:color w:val="1D6977"/>
            <w:sz w:val="18"/>
          </w:rPr>
          <w:t>[R045]</w:t>
        </w:r>
      </w:hyperlink>
      <w:r>
        <w:t xml:space="preserve"> </w:t>
      </w:r>
      <w:hyperlink r:id="rId28">
        <w:r>
          <w:rPr>
            <w:color w:val="1D6977"/>
            <w:sz w:val="18"/>
          </w:rPr>
          <w:t>[R046]</w:t>
        </w:r>
      </w:hyperlink>
      <w:r>
        <w:t xml:space="preserve"> </w:t>
      </w:r>
      <w:hyperlink r:id="rId29">
        <w:r>
          <w:rPr>
            <w:color w:val="1D6977"/>
            <w:sz w:val="18"/>
          </w:rPr>
          <w:t>[R047]</w:t>
        </w:r>
      </w:hyperlink>
      <w:r>
        <w:t xml:space="preserve"> </w:t>
      </w:r>
      <w:hyperlink r:id="rId30">
        <w:r>
          <w:rPr>
            <w:color w:val="1D6977"/>
            <w:sz w:val="18"/>
          </w:rPr>
          <w:t>[R052]</w:t>
        </w:r>
      </w:hyperlink>
    </w:p>
    <w:p>
      <w:r>
        <w:rPr>
          <w:b w:val="0"/>
        </w:rPr>
      </w:r>
      <w:r>
        <w:rPr>
          <w:b/>
        </w:rPr>
        <w:t>Корёская передача и Sŏn.</w:t>
      </w:r>
      <w:r>
        <w:rPr>
          <w:b w:val="0"/>
        </w:rPr>
        <w:t xml:space="preserve"> У Ыйчхона выделен Wŏnjong mullu: это не каталог и не собрание писем. К Чинулю добавлены наставления общине, вопросы kanhwa, трактат о совершенном/внезапном пробуждении и Excerpts on Zen Practice. Коллекции Хесима и Гагуна, речения Пэгуна, Тхэго и Наона, поэтические и эпиграфические тексты дают прямые продолжения монастырской письменной среды. Английские антологии не выданы за полные оригинальные собрания.</w:t>
      </w:r>
      <w:r>
        <w:t xml:space="preserve"> </w:t>
      </w:r>
      <w:hyperlink r:id="rId31">
        <w:r>
          <w:rPr>
            <w:color w:val="1D6977"/>
            <w:sz w:val="18"/>
          </w:rPr>
          <w:t>[R003]</w:t>
        </w:r>
      </w:hyperlink>
      <w:r>
        <w:t xml:space="preserve"> </w:t>
      </w:r>
      <w:hyperlink r:id="rId11">
        <w:r>
          <w:rPr>
            <w:color w:val="1D6977"/>
            <w:sz w:val="18"/>
          </w:rPr>
          <w:t>[R008]</w:t>
        </w:r>
      </w:hyperlink>
      <w:r>
        <w:t xml:space="preserve"> </w:t>
      </w:r>
      <w:hyperlink r:id="rId12">
        <w:r>
          <w:rPr>
            <w:color w:val="1D6977"/>
            <w:sz w:val="18"/>
          </w:rPr>
          <w:t>[R009]</w:t>
        </w:r>
      </w:hyperlink>
      <w:r>
        <w:t xml:space="preserve"> </w:t>
      </w:r>
      <w:hyperlink r:id="rId32">
        <w:r>
          <w:rPr>
            <w:color w:val="1D6977"/>
            <w:sz w:val="18"/>
          </w:rPr>
          <w:t>[R010]</w:t>
        </w:r>
      </w:hyperlink>
      <w:r>
        <w:t xml:space="preserve"> </w:t>
      </w:r>
      <w:hyperlink r:id="rId33">
        <w:r>
          <w:rPr>
            <w:color w:val="1D6977"/>
            <w:sz w:val="18"/>
          </w:rPr>
          <w:t>[R011]</w:t>
        </w:r>
      </w:hyperlink>
      <w:r>
        <w:t xml:space="preserve"> </w:t>
      </w:r>
      <w:hyperlink r:id="rId34">
        <w:r>
          <w:rPr>
            <w:color w:val="1D6977"/>
            <w:sz w:val="18"/>
          </w:rPr>
          <w:t>[R014]</w:t>
        </w:r>
      </w:hyperlink>
      <w:r>
        <w:t xml:space="preserve"> </w:t>
      </w:r>
      <w:hyperlink r:id="rId35">
        <w:r>
          <w:rPr>
            <w:color w:val="1D6977"/>
            <w:sz w:val="18"/>
          </w:rPr>
          <w:t>[R026]</w:t>
        </w:r>
      </w:hyperlink>
      <w:r>
        <w:t xml:space="preserve"> </w:t>
      </w:r>
      <w:hyperlink r:id="rId36">
        <w:r>
          <w:rPr>
            <w:color w:val="1D6977"/>
            <w:sz w:val="18"/>
          </w:rPr>
          <w:t>[R044]</w:t>
        </w:r>
      </w:hyperlink>
    </w:p>
    <w:p>
      <w:r>
        <w:rPr>
          <w:b w:val="0"/>
        </w:rPr>
      </w:r>
      <w:r>
        <w:rPr>
          <w:b/>
        </w:rPr>
        <w:t>Конфуцианский участок.</w:t>
      </w:r>
      <w:r>
        <w:rPr>
          <w:b w:val="0"/>
        </w:rPr>
        <w:t xml:space="preserve"> Найден полный современный корейский перевод Iphak tosŏl и отдельная запись его ксилографии 1425 года, первичные фрагменты двух полемических сочинений Чон Тоджона, собрания Sambongjip, Yangchonjip и Mokeunjip. Для последних двух и общего Sambongjip подтверждена прежде всего структура/каталог: динамический интерфейс не позволил надёжно засвидетельствовать весь текст.</w:t>
      </w:r>
      <w:r>
        <w:t xml:space="preserve"> </w:t>
      </w:r>
      <w:hyperlink r:id="rId37">
        <w:r>
          <w:rPr>
            <w:color w:val="1D6977"/>
            <w:sz w:val="18"/>
          </w:rPr>
          <w:t>[R032]</w:t>
        </w:r>
      </w:hyperlink>
      <w:r>
        <w:t xml:space="preserve"> </w:t>
      </w:r>
      <w:hyperlink r:id="rId38">
        <w:r>
          <w:rPr>
            <w:color w:val="1D6977"/>
            <w:sz w:val="18"/>
          </w:rPr>
          <w:t>[R033]</w:t>
        </w:r>
      </w:hyperlink>
      <w:r>
        <w:t xml:space="preserve"> </w:t>
      </w:r>
      <w:hyperlink r:id="rId39">
        <w:r>
          <w:rPr>
            <w:color w:val="1D6977"/>
            <w:sz w:val="18"/>
          </w:rPr>
          <w:t>[R034]</w:t>
        </w:r>
      </w:hyperlink>
      <w:r>
        <w:t xml:space="preserve"> </w:t>
      </w:r>
      <w:hyperlink r:id="rId40">
        <w:r>
          <w:rPr>
            <w:color w:val="1D6977"/>
            <w:sz w:val="18"/>
          </w:rPr>
          <w:t>[R035]</w:t>
        </w:r>
      </w:hyperlink>
      <w:r>
        <w:t xml:space="preserve"> </w:t>
      </w:r>
      <w:hyperlink r:id="rId41">
        <w:r>
          <w:rPr>
            <w:color w:val="1D6977"/>
            <w:sz w:val="18"/>
          </w:rPr>
          <w:t>[R043]</w:t>
        </w:r>
      </w:hyperlink>
      <w:r>
        <w:t xml:space="preserve"> </w:t>
      </w:r>
      <w:hyperlink r:id="rId42">
        <w:r>
          <w:rPr>
            <w:color w:val="1D6977"/>
            <w:sz w:val="18"/>
          </w:rPr>
          <w:t>[R068]</w:t>
        </w:r>
      </w:hyperlink>
      <w:r>
        <w:t xml:space="preserve"> </w:t>
      </w:r>
      <w:hyperlink r:id="rId43">
        <w:r>
          <w:rPr>
            <w:color w:val="1D6977"/>
            <w:sz w:val="18"/>
          </w:rPr>
          <w:t>[R069]</w:t>
        </w:r>
      </w:hyperlink>
    </w:p>
    <w:p>
      <w:pPr>
        <w:pStyle w:val="Heading2"/>
      </w:pPr>
      <w:r>
        <w:t>2.3. Поиск назад и вперёд</w:t>
      </w:r>
    </w:p>
    <w:p>
      <w:r>
        <w:rPr>
          <w:b w:val="0"/>
        </w:rPr>
      </w:r>
      <w:r>
        <w:rPr>
          <w:b/>
        </w:rPr>
        <w:t>Ранее VII века.</w:t>
      </w:r>
      <w:r>
        <w:rPr>
          <w:b w:val="0"/>
        </w:rPr>
        <w:t xml:space="preserve"> «Пробуждение веры», Lotus, Brahmā’s Net, Saṃdhinirmocana и сутры Чистой Земли включены потому, что конкретные корейские комментарии обращаются именно к ним. Four Books образуют входящий учебный корпус позднего Корё и Чосона. Это не включение всего китайского или индийского канона. Спорное происхождение «Пробуждения веры» и Vajrasamādhi не заменено бесспорной традиционной атрибуцией.</w:t>
      </w:r>
      <w:r>
        <w:t xml:space="preserve"> </w:t>
      </w:r>
      <w:hyperlink r:id="rId44">
        <w:r>
          <w:rPr>
            <w:color w:val="1D6977"/>
            <w:sz w:val="18"/>
          </w:rPr>
          <w:t>[R036]</w:t>
        </w:r>
      </w:hyperlink>
      <w:r>
        <w:t xml:space="preserve"> </w:t>
      </w:r>
      <w:hyperlink r:id="rId45">
        <w:r>
          <w:rPr>
            <w:color w:val="1D6977"/>
            <w:sz w:val="18"/>
          </w:rPr>
          <w:t>[R037]</w:t>
        </w:r>
      </w:hyperlink>
      <w:r>
        <w:t xml:space="preserve"> </w:t>
      </w:r>
      <w:hyperlink r:id="rId46">
        <w:r>
          <w:rPr>
            <w:color w:val="1D6977"/>
            <w:sz w:val="18"/>
          </w:rPr>
          <w:t>[R038]</w:t>
        </w:r>
      </w:hyperlink>
      <w:r>
        <w:t xml:space="preserve"> </w:t>
      </w:r>
      <w:hyperlink r:id="rId47">
        <w:r>
          <w:rPr>
            <w:color w:val="1D6977"/>
            <w:sz w:val="18"/>
          </w:rPr>
          <w:t>[R039]</w:t>
        </w:r>
      </w:hyperlink>
      <w:r>
        <w:t xml:space="preserve"> </w:t>
      </w:r>
      <w:hyperlink r:id="rId48">
        <w:r>
          <w:rPr>
            <w:color w:val="1D6977"/>
            <w:sz w:val="18"/>
          </w:rPr>
          <w:t>[R040]</w:t>
        </w:r>
      </w:hyperlink>
      <w:r>
        <w:t xml:space="preserve"> </w:t>
      </w:r>
      <w:hyperlink r:id="rId49">
        <w:r>
          <w:rPr>
            <w:color w:val="1D6977"/>
            <w:sz w:val="18"/>
          </w:rPr>
          <w:t>[R067]</w:t>
        </w:r>
      </w:hyperlink>
      <w:r>
        <w:t xml:space="preserve"> </w:t>
      </w:r>
      <w:hyperlink r:id="rId50">
        <w:r>
          <w:rPr>
            <w:color w:val="1D6977"/>
            <w:sz w:val="18"/>
          </w:rPr>
          <w:t>[R070]</w:t>
        </w:r>
      </w:hyperlink>
      <w:r>
        <w:t xml:space="preserve"> </w:t>
      </w:r>
      <w:hyperlink r:id="rId51">
        <w:r>
          <w:rPr>
            <w:color w:val="1D6977"/>
            <w:sz w:val="18"/>
          </w:rPr>
          <w:t>[R075]</w:t>
        </w:r>
      </w:hyperlink>
      <w:r>
        <w:t xml:space="preserve"> </w:t>
      </w:r>
      <w:hyperlink r:id="rId52">
        <w:r>
          <w:rPr>
            <w:color w:val="1D6977"/>
            <w:sz w:val="18"/>
          </w:rPr>
          <w:t>[R076]</w:t>
        </w:r>
      </w:hyperlink>
    </w:p>
    <w:p>
      <w:r>
        <w:rPr>
          <w:b w:val="0"/>
        </w:rPr>
      </w:r>
      <w:r>
        <w:rPr>
          <w:b/>
        </w:rPr>
        <w:t>Предшественники относительно автора.</w:t>
      </w:r>
      <w:r>
        <w:rPr>
          <w:b w:val="0"/>
        </w:rPr>
        <w:t xml:space="preserve"> Тексты Цзунми и Дахуэя — antecedent для синтеза Чинуля, хотя сами относятся к IX и XII векам, то есть лежат внутри VII–XV вв. Platform Sutra представлена поздней редакционной передачей; она не объявлена тем самым экземпляром, который читал Чинуль. Комментарий Фацзана включён в линию рецепции «Пробуждения веры» и Вонхё, без вывода, будто всё содержание Фацзана заимствовано у него.</w:t>
      </w:r>
      <w:r>
        <w:t xml:space="preserve"> </w:t>
      </w:r>
      <w:hyperlink r:id="rId53">
        <w:r>
          <w:rPr>
            <w:color w:val="1D6977"/>
            <w:sz w:val="18"/>
          </w:rPr>
          <w:t>[R041]</w:t>
        </w:r>
      </w:hyperlink>
      <w:r>
        <w:t xml:space="preserve"> </w:t>
      </w:r>
      <w:hyperlink r:id="rId54">
        <w:r>
          <w:rPr>
            <w:color w:val="1D6977"/>
            <w:sz w:val="18"/>
          </w:rPr>
          <w:t>[R051]</w:t>
        </w:r>
      </w:hyperlink>
      <w:r>
        <w:t xml:space="preserve"> </w:t>
      </w:r>
      <w:hyperlink r:id="rId55">
        <w:r>
          <w:rPr>
            <w:color w:val="1D6977"/>
            <w:sz w:val="18"/>
          </w:rPr>
          <w:t>[R071]</w:t>
        </w:r>
      </w:hyperlink>
      <w:r>
        <w:t xml:space="preserve"> </w:t>
      </w:r>
      <w:hyperlink r:id="rId56">
        <w:r>
          <w:rPr>
            <w:color w:val="1D6977"/>
            <w:sz w:val="18"/>
          </w:rPr>
          <w:t>[R072]</w:t>
        </w:r>
      </w:hyperlink>
    </w:p>
    <w:p>
      <w:r>
        <w:rPr>
          <w:b w:val="0"/>
        </w:rPr>
      </w:r>
      <w:r>
        <w:rPr>
          <w:b/>
        </w:rPr>
        <w:t>После 1500 года.</w:t>
      </w:r>
      <w:r>
        <w:rPr>
          <w:b w:val="0"/>
        </w:rPr>
        <w:t xml:space="preserve"> Хюджон представлен как прямое продолжение корейской Sŏn-педагогики: Seongagwigam, Simbeopyocho и тексты о соотношении медитации и учения. Sŏnghak sipto Тхвеге 1568 года включён по особенно сильной связи: глава о Great Learning прямо называет Квон Кына автором использованной диаграммы. Общая философия Тхвеге и Юльгока за пределами этой связи не разворачивалась.</w:t>
      </w:r>
      <w:r>
        <w:t xml:space="preserve"> </w:t>
      </w:r>
      <w:hyperlink r:id="rId57">
        <w:r>
          <w:rPr>
            <w:color w:val="1D6977"/>
            <w:sz w:val="18"/>
          </w:rPr>
          <w:t>[R004]</w:t>
        </w:r>
      </w:hyperlink>
      <w:r>
        <w:t xml:space="preserve"> </w:t>
      </w:r>
      <w:hyperlink r:id="rId58">
        <w:r>
          <w:rPr>
            <w:color w:val="1D6977"/>
            <w:sz w:val="18"/>
          </w:rPr>
          <w:t>[R053]</w:t>
        </w:r>
      </w:hyperlink>
      <w:r>
        <w:t xml:space="preserve"> </w:t>
      </w:r>
      <w:hyperlink r:id="rId59">
        <w:r>
          <w:rPr>
            <w:color w:val="1D6977"/>
            <w:sz w:val="18"/>
          </w:rPr>
          <w:t>[Тхвеге, глава 4]</w:t>
        </w:r>
      </w:hyperlink>
    </w:p>
    <w:p>
      <w:r>
        <w:rPr>
          <w:b w:val="0"/>
        </w:rPr>
      </w:r>
      <w:r>
        <w:rPr>
          <w:b/>
        </w:rPr>
        <w:t>Поздняя редакция и сохранение — не новая дата сочинения.</w:t>
      </w:r>
      <w:r>
        <w:rPr>
          <w:b w:val="0"/>
        </w:rPr>
        <w:t xml:space="preserve"> Yangchonjip 1674 года, поздние канонические печати и японское предисловие 1693 года в цифровом каталоге Ыйчхона относятся к истории передачи. Японский свидетель каталога 1176 года — отдельный объект, пока оставшийся в G003. Паломнический текст Хечхо, Samguk yusa и Haedong goseungjeon включены как первичные носители свидетельств о ранней среде и авторах.</w:t>
      </w:r>
      <w:r>
        <w:t xml:space="preserve"> </w:t>
      </w:r>
      <w:hyperlink r:id="rId60">
        <w:r>
          <w:rPr>
            <w:color w:val="1D6977"/>
            <w:sz w:val="18"/>
          </w:rPr>
          <w:t>[R018]</w:t>
        </w:r>
      </w:hyperlink>
      <w:r>
        <w:t xml:space="preserve"> </w:t>
      </w:r>
      <w:hyperlink r:id="rId61">
        <w:r>
          <w:rPr>
            <w:color w:val="1D6977"/>
            <w:sz w:val="18"/>
          </w:rPr>
          <w:t>[R056]</w:t>
        </w:r>
      </w:hyperlink>
      <w:r>
        <w:t xml:space="preserve"> </w:t>
      </w:r>
      <w:hyperlink r:id="rId62">
        <w:r>
          <w:rPr>
            <w:color w:val="1D6977"/>
            <w:sz w:val="18"/>
          </w:rPr>
          <w:t>[R057]</w:t>
        </w:r>
      </w:hyperlink>
      <w:r>
        <w:t xml:space="preserve"> </w:t>
      </w:r>
      <w:hyperlink r:id="rId63">
        <w:r>
          <w:rPr>
            <w:color w:val="1D6977"/>
            <w:sz w:val="18"/>
          </w:rPr>
          <w:t>[R060]</w:t>
        </w:r>
      </w:hyperlink>
      <w:r>
        <w:t xml:space="preserve"> </w:t>
      </w:r>
      <w:hyperlink r:id="rId42">
        <w:r>
          <w:rPr>
            <w:color w:val="1D6977"/>
            <w:sz w:val="18"/>
          </w:rPr>
          <w:t>[R068]</w:t>
        </w:r>
      </w:hyperlink>
    </w:p>
    <w:p>
      <w:pPr>
        <w:pStyle w:val="Heading1"/>
      </w:pPr>
      <w:r>
        <w:t>3. Лучшие пути доступа</w:t>
      </w:r>
    </w:p>
    <w:p>
      <w:pPr>
        <w:pStyle w:val="Heading2"/>
      </w:pPr>
      <w:r>
        <w:t>Вонхё</w:t>
      </w:r>
    </w:p>
    <w:p>
      <w:r>
        <w:rPr>
          <w:b w:val="0"/>
        </w:rPr>
      </w:r>
      <w:r>
        <w:rPr>
          <w:b/>
        </w:rPr>
        <w:t>Для первого чтения</w:t>
      </w:r>
      <w:r>
        <w:rPr>
          <w:b w:val="0"/>
        </w:rPr>
        <w:t xml:space="preserve"> — Wonhyo: Selected Works в официальной серии UCLA/Jogye: английский PDF с аппаратом. Он удобен для Lotus, Чистой Земли, бодхисаттвенной дисциплины и коротких наставлений, но не содержит целиком оба комментария к «Пробуждению веры» и большой трактат о Vajrasamādhi. Один этот том не закрывает авторское ядро.</w:t>
      </w:r>
      <w:r>
        <w:t xml:space="preserve"> </w:t>
      </w:r>
      <w:hyperlink r:id="rId64">
        <w:r>
          <w:rPr>
            <w:color w:val="1D6977"/>
            <w:sz w:val="18"/>
          </w:rPr>
          <w:t>[R002]</w:t>
        </w:r>
      </w:hyperlink>
    </w:p>
    <w:p>
      <w:r>
        <w:rPr>
          <w:b w:val="0"/>
        </w:rPr>
      </w:r>
      <w:r>
        <w:rPr>
          <w:b/>
        </w:rPr>
        <w:t>Для оригинала и машинной обработки</w:t>
      </w:r>
      <w:r>
        <w:rPr>
          <w:b w:val="0"/>
        </w:rPr>
        <w:t xml:space="preserve"> — CBETA T1844 и T1730, а также T1725, T1747, T1907, T1773 и T1908. PDF T1844/T1845 в NTU удобны для чтения и сверки; XML лучше сохраняет канонические координаты и разметку. Для полного современного английского чтения Vajrasamādhi-комментария предпочтителен Buswell, Cultivating Original Enlightenment. Для четырёх трудных/фрагментарных трактатов — Muller/Nguyen, Wŏnhyo’s Philosophy of Mind: платный, но содержательно необходимый вход.</w:t>
      </w:r>
      <w:r>
        <w:t xml:space="preserve"> </w:t>
      </w:r>
      <w:hyperlink r:id="rId14">
        <w:r>
          <w:rPr>
            <w:color w:val="1D6977"/>
            <w:sz w:val="18"/>
          </w:rPr>
          <w:t>[R015]</w:t>
        </w:r>
      </w:hyperlink>
      <w:r>
        <w:t xml:space="preserve"> </w:t>
      </w:r>
      <w:hyperlink r:id="rId15">
        <w:r>
          <w:rPr>
            <w:color w:val="1D6977"/>
            <w:sz w:val="18"/>
          </w:rPr>
          <w:t>[R016]</w:t>
        </w:r>
      </w:hyperlink>
      <w:r>
        <w:t xml:space="preserve"> </w:t>
      </w:r>
      <w:hyperlink r:id="rId65">
        <w:r>
          <w:rPr>
            <w:color w:val="1D6977"/>
            <w:sz w:val="18"/>
          </w:rPr>
          <w:t>[R020]</w:t>
        </w:r>
      </w:hyperlink>
      <w:r>
        <w:t xml:space="preserve"> </w:t>
      </w:r>
      <w:hyperlink r:id="rId16">
        <w:r>
          <w:rPr>
            <w:color w:val="1D6977"/>
            <w:sz w:val="18"/>
          </w:rPr>
          <w:t>[R021]</w:t>
        </w:r>
      </w:hyperlink>
      <w:r>
        <w:t xml:space="preserve"> </w:t>
      </w:r>
      <w:hyperlink r:id="rId66">
        <w:r>
          <w:rPr>
            <w:color w:val="1D6977"/>
            <w:sz w:val="18"/>
          </w:rPr>
          <w:t>[R024]</w:t>
        </w:r>
      </w:hyperlink>
      <w:r>
        <w:t xml:space="preserve"> </w:t>
      </w:r>
      <w:hyperlink r:id="rId17">
        <w:r>
          <w:rPr>
            <w:color w:val="1D6977"/>
            <w:sz w:val="18"/>
          </w:rPr>
          <w:t>[R048]</w:t>
        </w:r>
      </w:hyperlink>
      <w:r>
        <w:t xml:space="preserve"> </w:t>
      </w:r>
      <w:hyperlink r:id="rId18">
        <w:r>
          <w:rPr>
            <w:color w:val="1D6977"/>
            <w:sz w:val="18"/>
          </w:rPr>
          <w:t>[R049]</w:t>
        </w:r>
      </w:hyperlink>
      <w:r>
        <w:t xml:space="preserve"> </w:t>
      </w:r>
      <w:hyperlink r:id="rId19">
        <w:r>
          <w:rPr>
            <w:color w:val="1D6977"/>
            <w:sz w:val="18"/>
          </w:rPr>
          <w:t>[R050]</w:t>
        </w:r>
      </w:hyperlink>
      <w:r>
        <w:t xml:space="preserve"> </w:t>
      </w:r>
      <w:hyperlink r:id="rId20">
        <w:r>
          <w:rPr>
            <w:color w:val="1D6977"/>
            <w:sz w:val="18"/>
          </w:rPr>
          <w:t>[R055]</w:t>
        </w:r>
      </w:hyperlink>
      <w:r>
        <w:t xml:space="preserve"> </w:t>
      </w:r>
      <w:hyperlink r:id="rId21">
        <w:r>
          <w:rPr>
            <w:color w:val="1D6977"/>
            <w:sz w:val="18"/>
          </w:rPr>
          <w:t>[R073]</w:t>
        </w:r>
      </w:hyperlink>
      <w:r>
        <w:t xml:space="preserve"> </w:t>
      </w:r>
      <w:hyperlink r:id="rId22">
        <w:r>
          <w:rPr>
            <w:color w:val="1D6977"/>
            <w:sz w:val="18"/>
          </w:rPr>
          <w:t>[R074]</w:t>
        </w:r>
      </w:hyperlink>
    </w:p>
    <w:p>
      <w:r>
        <w:rPr>
          <w:b w:val="0"/>
        </w:rPr>
      </w:r>
      <w:r>
        <w:rPr>
          <w:b/>
        </w:rPr>
        <w:t>Русский вариант</w:t>
      </w:r>
      <w:r>
        <w:rPr>
          <w:b w:val="0"/>
        </w:rPr>
        <w:t xml:space="preserve"> — академический перевод Balsim suhaeng jang Ю. В. Болтач на сайте ИВР РАН, полный текст статьи 2013 года. Это самостоятельный подтверждённый маршрут, не пересказ через английскую популярную версию. Лицензия на повторное размещение статьи не найдена.</w:t>
      </w:r>
      <w:r>
        <w:t xml:space="preserve"> </w:t>
      </w:r>
      <w:hyperlink r:id="rId67">
        <w:r>
          <w:rPr>
            <w:color w:val="1D6977"/>
            <w:sz w:val="18"/>
          </w:rPr>
          <w:t>[R064]</w:t>
        </w:r>
      </w:hyperlink>
    </w:p>
    <w:p>
      <w:pPr>
        <w:pStyle w:val="Heading2"/>
      </w:pPr>
      <w:r>
        <w:t>Ыйсан, Hwaŏm и Ыйчхон</w:t>
      </w:r>
    </w:p>
    <w:p>
      <w:r>
        <w:rPr>
          <w:b w:val="0"/>
        </w:rPr>
        <w:t>Диаграмма Ыйсана доступна в оригинале как T1887A и в переводной линии Hwaŏm I. Последняя особенно полезна благодаря комментариям Кюнё и материалам Pŏpkyedo ki ch’ongsurok: они показывают, как читалась сама диаграмма. Hwaŏm II расширяет круг до Мёнхё, Пхёвона, Ыйчхона и Чевона. Для Пхёвона дополнительно найден самостоятельный XML X0237.</w:t>
      </w:r>
      <w:r>
        <w:t xml:space="preserve"> </w:t>
      </w:r>
      <w:hyperlink r:id="rId23">
        <w:r>
          <w:rPr>
            <w:color w:val="1D6977"/>
            <w:sz w:val="18"/>
          </w:rPr>
          <w:t>[R005]</w:t>
        </w:r>
      </w:hyperlink>
      <w:r>
        <w:t xml:space="preserve"> </w:t>
      </w:r>
      <w:hyperlink r:id="rId24">
        <w:r>
          <w:rPr>
            <w:color w:val="1D6977"/>
            <w:sz w:val="18"/>
          </w:rPr>
          <w:t>[R006]</w:t>
        </w:r>
      </w:hyperlink>
      <w:r>
        <w:t xml:space="preserve"> </w:t>
      </w:r>
      <w:hyperlink r:id="rId68">
        <w:r>
          <w:rPr>
            <w:color w:val="1D6977"/>
            <w:sz w:val="18"/>
          </w:rPr>
          <w:t>[R017]</w:t>
        </w:r>
      </w:hyperlink>
      <w:r>
        <w:t xml:space="preserve"> </w:t>
      </w:r>
      <w:hyperlink r:id="rId27">
        <w:r>
          <w:rPr>
            <w:color w:val="1D6977"/>
            <w:sz w:val="18"/>
          </w:rPr>
          <w:t>[R045]</w:t>
        </w:r>
      </w:hyperlink>
    </w:p>
    <w:p>
      <w:r>
        <w:rPr>
          <w:b w:val="0"/>
        </w:rPr>
        <w:t>Каталог Ыйчхона лучше открывать через полный текстовый PDF T2184. Он воспроизводит каноническую редакцию каталога, а не факсимиле японской рукописи 1176 года. Wŏnjong mullu X1015 — отдельная доктринальная компиляция, сохранившаяся неполно. Современный английский вход в сочинения Ыйчхона — McBride, Doctrine and Practice in Medieval Korean Buddhism: доступны официальный заказ и институциональная электронная версия. Это отбор сочинений, а не весь исторический Kyojang.</w:t>
      </w:r>
      <w:r>
        <w:t xml:space="preserve"> </w:t>
      </w:r>
      <w:hyperlink r:id="rId60">
        <w:r>
          <w:rPr>
            <w:color w:val="1D6977"/>
            <w:sz w:val="18"/>
          </w:rPr>
          <w:t>[R018]</w:t>
        </w:r>
      </w:hyperlink>
      <w:r>
        <w:t xml:space="preserve"> </w:t>
      </w:r>
      <w:hyperlink r:id="rId69">
        <w:r>
          <w:rPr>
            <w:color w:val="1D6977"/>
            <w:sz w:val="18"/>
          </w:rPr>
          <w:t>[R025]</w:t>
        </w:r>
      </w:hyperlink>
      <w:r>
        <w:t xml:space="preserve"> </w:t>
      </w:r>
      <w:hyperlink r:id="rId70">
        <w:r>
          <w:rPr>
            <w:color w:val="1D6977"/>
            <w:sz w:val="18"/>
          </w:rPr>
          <w:t>[R029]</w:t>
        </w:r>
      </w:hyperlink>
      <w:r>
        <w:t xml:space="preserve"> </w:t>
      </w:r>
      <w:hyperlink r:id="rId36">
        <w:r>
          <w:rPr>
            <w:color w:val="1D6977"/>
            <w:sz w:val="18"/>
          </w:rPr>
          <w:t>[R044]</w:t>
        </w:r>
      </w:hyperlink>
    </w:p>
    <w:p>
      <w:pPr>
        <w:pStyle w:val="Heading2"/>
      </w:pPr>
      <w:r>
        <w:t>Чинуль и последующая Sŏn-линия</w:t>
      </w:r>
    </w:p>
    <w:p>
      <w:r>
        <w:rPr>
          <w:b w:val="0"/>
        </w:rPr>
        <w:t>Наиболее удобный бесплатный переводной вход — Chinul: Selected Works. Hanmun Susim kyŏl доступен в T2020. Для полного Excerpts on Zen Practice нужен отдельный Buswell, Numinous Awareness Is Never Dark: его нельзя подменить введением к Hwaŏm non chŏryo в антологии или самостоятельным текстом Цзунми T2015. The Korean Approach to Zen сохранён как ещё один защищённый научный вариант.</w:t>
      </w:r>
      <w:r>
        <w:t xml:space="preserve"> </w:t>
      </w:r>
      <w:hyperlink r:id="rId31">
        <w:r>
          <w:rPr>
            <w:color w:val="1D6977"/>
            <w:sz w:val="18"/>
          </w:rPr>
          <w:t>[R003]</w:t>
        </w:r>
      </w:hyperlink>
      <w:r>
        <w:t xml:space="preserve"> </w:t>
      </w:r>
      <w:hyperlink r:id="rId71">
        <w:r>
          <w:rPr>
            <w:color w:val="1D6977"/>
            <w:sz w:val="18"/>
          </w:rPr>
          <w:t>[R019]</w:t>
        </w:r>
      </w:hyperlink>
      <w:r>
        <w:t xml:space="preserve"> </w:t>
      </w:r>
      <w:hyperlink r:id="rId35">
        <w:r>
          <w:rPr>
            <w:color w:val="1D6977"/>
            <w:sz w:val="18"/>
          </w:rPr>
          <w:t>[R026]</w:t>
        </w:r>
      </w:hyperlink>
      <w:r>
        <w:t xml:space="preserve"> </w:t>
      </w:r>
      <w:hyperlink r:id="rId72">
        <w:r>
          <w:rPr>
            <w:color w:val="1D6977"/>
            <w:sz w:val="18"/>
          </w:rPr>
          <w:t>[R031]</w:t>
        </w:r>
      </w:hyperlink>
      <w:r>
        <w:t xml:space="preserve"> </w:t>
      </w:r>
      <w:hyperlink r:id="rId54">
        <w:r>
          <w:rPr>
            <w:color w:val="1D6977"/>
            <w:sz w:val="18"/>
          </w:rPr>
          <w:t>[R051]</w:t>
        </w:r>
      </w:hyperlink>
    </w:p>
    <w:p>
      <w:r>
        <w:rPr>
          <w:b w:val="0"/>
        </w:rPr>
        <w:t>На русском полностью доступен перевод Kye ch’osim hagin mun — «Слова наставления…» Чинуля, выполненный Ю. В. Болтач. Это короткое произведение целиком внутри более крупного PDF, не весь корпус Чинуля. Для непосредственных продолжений полезны два тома Gongan Collections, Seon Dialogues и поздний Хюджон. Комплект из двух PDF Gongan остаётся выборкой обширного Seonmun yeomsong seolhwa.</w:t>
      </w:r>
      <w:r>
        <w:t xml:space="preserve"> </w:t>
      </w:r>
      <w:hyperlink r:id="rId57">
        <w:r>
          <w:rPr>
            <w:color w:val="1D6977"/>
            <w:sz w:val="18"/>
          </w:rPr>
          <w:t>[R004]</w:t>
        </w:r>
      </w:hyperlink>
      <w:r>
        <w:t xml:space="preserve"> </w:t>
      </w:r>
      <w:hyperlink r:id="rId11">
        <w:r>
          <w:rPr>
            <w:color w:val="1D6977"/>
            <w:sz w:val="18"/>
          </w:rPr>
          <w:t>[R008]</w:t>
        </w:r>
      </w:hyperlink>
      <w:r>
        <w:t xml:space="preserve"> </w:t>
      </w:r>
      <w:hyperlink r:id="rId12">
        <w:r>
          <w:rPr>
            <w:color w:val="1D6977"/>
            <w:sz w:val="18"/>
          </w:rPr>
          <w:t>[R009]</w:t>
        </w:r>
      </w:hyperlink>
      <w:r>
        <w:t xml:space="preserve"> </w:t>
      </w:r>
      <w:hyperlink r:id="rId32">
        <w:r>
          <w:rPr>
            <w:color w:val="1D6977"/>
            <w:sz w:val="18"/>
          </w:rPr>
          <w:t>[R010]</w:t>
        </w:r>
      </w:hyperlink>
      <w:r>
        <w:t xml:space="preserve"> </w:t>
      </w:r>
      <w:hyperlink r:id="rId73">
        <w:r>
          <w:rPr>
            <w:color w:val="1D6977"/>
            <w:sz w:val="18"/>
          </w:rPr>
          <w:t>[R063]</w:t>
        </w:r>
      </w:hyperlink>
    </w:p>
    <w:p>
      <w:pPr>
        <w:pStyle w:val="Heading2"/>
      </w:pPr>
      <w:r>
        <w:t>Полемика Чон Тоджона и Кихвы</w:t>
      </w:r>
    </w:p>
    <w:p>
      <w:r>
        <w:rPr>
          <w:b w:val="0"/>
        </w:rPr>
      </w:r>
      <w:r>
        <w:rPr>
          <w:b/>
        </w:rPr>
        <w:t>Лучший современный совместный научный вход</w:t>
      </w:r>
      <w:r>
        <w:rPr>
          <w:b w:val="0"/>
        </w:rPr>
        <w:t xml:space="preserve"> — Korea’s Great Buddhist–Confucian Debate А. Чарльза Мюллера: три связанных трактата собраны в одном досье. Сохранены и официальный заказ, и отдельный институциональный маршрут. Бесплатный английский Hyŏnjŏng-non доступен внутри Doctrinal Treatises; это полезно даже при неработающем KABC.</w:t>
      </w:r>
      <w:r>
        <w:t xml:space="preserve"> </w:t>
      </w:r>
      <w:hyperlink r:id="rId25">
        <w:r>
          <w:rPr>
            <w:color w:val="1D6977"/>
            <w:sz w:val="18"/>
          </w:rPr>
          <w:t>[R007]</w:t>
        </w:r>
      </w:hyperlink>
      <w:r>
        <w:t xml:space="preserve"> </w:t>
      </w:r>
      <w:hyperlink r:id="rId74">
        <w:r>
          <w:rPr>
            <w:color w:val="1D6977"/>
            <w:sz w:val="18"/>
          </w:rPr>
          <w:t>[R023]</w:t>
        </w:r>
      </w:hyperlink>
      <w:r>
        <w:t xml:space="preserve"> </w:t>
      </w:r>
      <w:hyperlink r:id="rId75">
        <w:r>
          <w:rPr>
            <w:color w:val="1D6977"/>
            <w:sz w:val="18"/>
          </w:rPr>
          <w:t>[R028]</w:t>
        </w:r>
      </w:hyperlink>
    </w:p>
    <w:p>
      <w:r>
        <w:rPr>
          <w:b w:val="0"/>
        </w:rPr>
      </w:r>
      <w:r>
        <w:rPr>
          <w:b/>
        </w:rPr>
        <w:t>Бесплатный оригинальный слой</w:t>
      </w:r>
      <w:r>
        <w:rPr>
          <w:b w:val="0"/>
        </w:rPr>
        <w:t xml:space="preserve"> NIKH даёт выдержки Pulssi chappyŏn и часть Simgiri p’yŏn — «Li увещевает ум и qi». Эти страницы не обозначены как полные произведения. Seeking Order in a Tumultuous Age дополняет полемику политическими сочинениями Чон Тоджона, но тоже является переводным отбором. Полные оригинальные собрания и раннечосонская печать Кихвы остаются отдельной задачей.</w:t>
      </w:r>
      <w:r>
        <w:t xml:space="preserve"> </w:t>
      </w:r>
      <w:hyperlink r:id="rId76">
        <w:r>
          <w:rPr>
            <w:color w:val="1D6977"/>
            <w:sz w:val="18"/>
          </w:rPr>
          <w:t>[R027]</w:t>
        </w:r>
      </w:hyperlink>
      <w:r>
        <w:t xml:space="preserve"> </w:t>
      </w:r>
      <w:hyperlink r:id="rId77">
        <w:r>
          <w:rPr>
            <w:color w:val="1D6977"/>
            <w:sz w:val="18"/>
          </w:rPr>
          <w:t>[R030]</w:t>
        </w:r>
      </w:hyperlink>
      <w:r>
        <w:t xml:space="preserve"> </w:t>
      </w:r>
      <w:hyperlink r:id="rId39">
        <w:r>
          <w:rPr>
            <w:color w:val="1D6977"/>
            <w:sz w:val="18"/>
          </w:rPr>
          <w:t>[R034]</w:t>
        </w:r>
      </w:hyperlink>
      <w:r>
        <w:t xml:space="preserve"> </w:t>
      </w:r>
      <w:hyperlink r:id="rId40">
        <w:r>
          <w:rPr>
            <w:color w:val="1D6977"/>
            <w:sz w:val="18"/>
          </w:rPr>
          <w:t>[R035]</w:t>
        </w:r>
      </w:hyperlink>
      <w:r>
        <w:t xml:space="preserve"> </w:t>
      </w:r>
      <w:hyperlink r:id="rId41">
        <w:r>
          <w:rPr>
            <w:color w:val="1D6977"/>
            <w:sz w:val="18"/>
          </w:rPr>
          <w:t>[R043]</w:t>
        </w:r>
      </w:hyperlink>
    </w:p>
    <w:p>
      <w:pPr>
        <w:pStyle w:val="Heading2"/>
      </w:pPr>
      <w:r>
        <w:t>Квон Кын и конфуцианская передача</w:t>
      </w:r>
    </w:p>
    <w:p>
      <w:r>
        <w:rPr>
          <w:b w:val="0"/>
        </w:rPr>
      </w:r>
      <w:r>
        <w:rPr>
          <w:b/>
        </w:rPr>
        <w:t>Лучшее бесплатное чтение Iphak tosŏl</w:t>
      </w:r>
      <w:r>
        <w:rPr>
          <w:b w:val="0"/>
        </w:rPr>
        <w:t xml:space="preserve"> — 국역 입학도설, перевод 조우진 и 정영수, 2024: официальный 247-страничный PDF HIKS. Для оригинального свидетеля сохранён Jangseogak LIB_166991, PC2-113: ксилография 1425 года, но в данном запуске только карточка. Указатель Yangchonjip 1674 года полезен для дальнейшего поиска полного ханмуна; современная пунктуация в базе не объявлена свободной.</w:t>
      </w:r>
      <w:r>
        <w:t xml:space="preserve"> </w:t>
      </w:r>
      <w:hyperlink r:id="rId37">
        <w:r>
          <w:rPr>
            <w:color w:val="1D6977"/>
            <w:sz w:val="18"/>
          </w:rPr>
          <w:t>[R032]</w:t>
        </w:r>
      </w:hyperlink>
      <w:r>
        <w:t xml:space="preserve"> </w:t>
      </w:r>
      <w:hyperlink r:id="rId38">
        <w:r>
          <w:rPr>
            <w:color w:val="1D6977"/>
            <w:sz w:val="18"/>
          </w:rPr>
          <w:t>[R033]</w:t>
        </w:r>
      </w:hyperlink>
      <w:r>
        <w:t xml:space="preserve"> </w:t>
      </w:r>
      <w:hyperlink r:id="rId42">
        <w:r>
          <w:rPr>
            <w:color w:val="1D6977"/>
            <w:sz w:val="18"/>
          </w:rPr>
          <w:t>[R068]</w:t>
        </w:r>
      </w:hyperlink>
    </w:p>
    <w:p>
      <w:r>
        <w:rPr>
          <w:b w:val="0"/>
        </w:rPr>
      </w:r>
      <w:r>
        <w:rPr>
          <w:b/>
        </w:rPr>
        <w:t>Прямое позднее продолжение</w:t>
      </w:r>
      <w:r>
        <w:rPr>
          <w:b w:val="0"/>
        </w:rPr>
        <w:t xml:space="preserve"> — авторское веб-издание To Become a Sage Майкла Калтона: полный английский Sŏnghak sipto с примечаниями, бесплатно и с собственным разрешением на распространение без платы. Приложение с китайским текстом основано на другом издании; права и комплектность его изображений не перенесены автоматически с английской версии.</w:t>
      </w:r>
      <w:r>
        <w:t xml:space="preserve"> </w:t>
      </w:r>
      <w:hyperlink r:id="rId58">
        <w:r>
          <w:rPr>
            <w:color w:val="1D6977"/>
            <w:sz w:val="18"/>
          </w:rPr>
          <w:t>[R053]</w:t>
        </w:r>
      </w:hyperlink>
      <w:r>
        <w:t xml:space="preserve"> </w:t>
      </w:r>
      <w:hyperlink r:id="rId78">
        <w:r>
          <w:rPr>
            <w:color w:val="1D6977"/>
            <w:sz w:val="18"/>
          </w:rPr>
          <w:t>[R054]</w:t>
        </w:r>
      </w:hyperlink>
    </w:p>
    <w:p>
      <w:r>
        <w:rPr>
          <w:b w:val="0"/>
        </w:rPr>
      </w:r>
      <w:r>
        <w:rPr>
          <w:b/>
        </w:rPr>
        <w:t>Старая переводная основа классиков.</w:t>
      </w:r>
      <w:r>
        <w:rPr>
          <w:b w:val="0"/>
        </w:rPr>
        <w:t xml:space="preserve"> Project Gutenberg 4094 содержит полностью проверенные китайский текст и перевод Legge «Лунь юя», книги I–XX. Библиотечный скан всех Four Books на Internet Archive и его карточка HathiTrust сохранены отдельно: точная дата оттиска и весь файл не проверены, а переход Full view в HathiTrust вернул 403. PG3100 оказался Prolegomena, а не полным текстом всех классиков.</w:t>
      </w:r>
      <w:r>
        <w:t xml:space="preserve"> </w:t>
      </w:r>
      <w:hyperlink r:id="rId49">
        <w:r>
          <w:rPr>
            <w:color w:val="1D6977"/>
            <w:sz w:val="18"/>
          </w:rPr>
          <w:t>[R067]</w:t>
        </w:r>
      </w:hyperlink>
      <w:r>
        <w:t xml:space="preserve"> </w:t>
      </w:r>
      <w:hyperlink r:id="rId51">
        <w:r>
          <w:rPr>
            <w:color w:val="1D6977"/>
            <w:sz w:val="18"/>
          </w:rPr>
          <w:t>[R075]</w:t>
        </w:r>
      </w:hyperlink>
      <w:r>
        <w:t xml:space="preserve"> </w:t>
      </w:r>
      <w:hyperlink r:id="rId52">
        <w:r>
          <w:rPr>
            <w:color w:val="1D6977"/>
            <w:sz w:val="18"/>
          </w:rPr>
          <w:t>[R076]</w:t>
        </w:r>
      </w:hyperlink>
    </w:p>
    <w:p>
      <w:pPr>
        <w:pStyle w:val="Heading2"/>
      </w:pPr>
      <w:r>
        <w:t>Ранние сутры, хроники и материальные свидетели</w:t>
      </w:r>
    </w:p>
    <w:p>
      <w:r>
        <w:rPr>
          <w:b w:val="0"/>
        </w:rPr>
        <w:t>BDK America предлагает официальные бесплатные PDF и покупку современных переводов: Hakeda, «Пробуждение веры»; Muller/Tanaka, Brahmā’s Net; Keenan, Saṃdhinirmocana; Inagaki/Stewart, Three Pure Land Sutras; Kubo/Yuyama, Lotus; McRae, Platform Sutra; Cook, Three Texts on Consciousness Only. Это защищённые переводы с законным бесплатным доступом. Часть download-endpoints была доступна лишь как бинарная отдача: содержание идентифицировано по издательским карточкам, но не объявлено целиком прочитанным.</w:t>
      </w:r>
      <w:r>
        <w:t xml:space="preserve"> </w:t>
      </w:r>
      <w:hyperlink r:id="rId44">
        <w:r>
          <w:rPr>
            <w:color w:val="1D6977"/>
            <w:sz w:val="18"/>
          </w:rPr>
          <w:t>[R036]</w:t>
        </w:r>
      </w:hyperlink>
      <w:r>
        <w:t xml:space="preserve"> </w:t>
      </w:r>
      <w:hyperlink r:id="rId45">
        <w:r>
          <w:rPr>
            <w:color w:val="1D6977"/>
            <w:sz w:val="18"/>
          </w:rPr>
          <w:t>[R037]</w:t>
        </w:r>
      </w:hyperlink>
      <w:r>
        <w:t xml:space="preserve"> </w:t>
      </w:r>
      <w:hyperlink r:id="rId46">
        <w:r>
          <w:rPr>
            <w:color w:val="1D6977"/>
            <w:sz w:val="18"/>
          </w:rPr>
          <w:t>[R038]</w:t>
        </w:r>
      </w:hyperlink>
      <w:r>
        <w:t xml:space="preserve"> </w:t>
      </w:r>
      <w:hyperlink r:id="rId47">
        <w:r>
          <w:rPr>
            <w:color w:val="1D6977"/>
            <w:sz w:val="18"/>
          </w:rPr>
          <w:t>[R039]</w:t>
        </w:r>
      </w:hyperlink>
      <w:r>
        <w:t xml:space="preserve"> </w:t>
      </w:r>
      <w:hyperlink r:id="rId48">
        <w:r>
          <w:rPr>
            <w:color w:val="1D6977"/>
            <w:sz w:val="18"/>
          </w:rPr>
          <w:t>[R040]</w:t>
        </w:r>
      </w:hyperlink>
      <w:r>
        <w:t xml:space="preserve"> </w:t>
      </w:r>
      <w:hyperlink r:id="rId53">
        <w:r>
          <w:rPr>
            <w:color w:val="1D6977"/>
            <w:sz w:val="18"/>
          </w:rPr>
          <w:t>[R041]</w:t>
        </w:r>
      </w:hyperlink>
      <w:r>
        <w:t xml:space="preserve"> </w:t>
      </w:r>
      <w:hyperlink r:id="rId79">
        <w:r>
          <w:rPr>
            <w:color w:val="1D6977"/>
            <w:sz w:val="18"/>
          </w:rPr>
          <w:t>[R042]</w:t>
        </w:r>
      </w:hyperlink>
    </w:p>
    <w:p>
      <w:r>
        <w:rPr>
          <w:b w:val="0"/>
        </w:rPr>
        <w:t>Старый Suzuki, Awakening of Faith, 1900, найден в библиотечной оцифровке Wellesley/Boston Library Consortium на Internet Archive. Это полезная историческая версия, но статус в США не распространяется автоматически на все юрисдикции. Ни этот файл, ни современный Hakeda не используются как безусловная основа нового русского перевода ToS.</w:t>
      </w:r>
      <w:r>
        <w:t xml:space="preserve"> </w:t>
      </w:r>
      <w:hyperlink r:id="rId80">
        <w:r>
          <w:rPr>
            <w:color w:val="1D6977"/>
            <w:sz w:val="18"/>
          </w:rPr>
          <w:t>[R058]</w:t>
        </w:r>
      </w:hyperlink>
    </w:p>
    <w:p>
      <w:r>
        <w:rPr>
          <w:b w:val="0"/>
        </w:rPr>
        <w:t>Для Samguk yusa и двух сохранившихся томов Haedong goseungjeon подтверждены чтение ханмуна и соответствующие корейские материалы NIKH. Русские книги Ю. В. Болтач идентифицированы по ИВР РАН, однако их открытые PDF — лишь ознакомительные фрагменты. Для Jikji, Хечхо, досок Tripitaka Koreana и Hunminjeongeum сохранены институциональные карточки; полноценный просмотр всех соответствующих факсимиле не подтверждён.</w:t>
      </w:r>
      <w:r>
        <w:t xml:space="preserve"> </w:t>
      </w:r>
      <w:hyperlink r:id="rId61">
        <w:r>
          <w:rPr>
            <w:color w:val="1D6977"/>
            <w:sz w:val="18"/>
          </w:rPr>
          <w:t>[R056]</w:t>
        </w:r>
      </w:hyperlink>
      <w:r>
        <w:t xml:space="preserve"> </w:t>
      </w:r>
      <w:hyperlink r:id="rId62">
        <w:r>
          <w:rPr>
            <w:color w:val="1D6977"/>
            <w:sz w:val="18"/>
          </w:rPr>
          <w:t>[R057]</w:t>
        </w:r>
      </w:hyperlink>
      <w:r>
        <w:t xml:space="preserve"> </w:t>
      </w:r>
      <w:hyperlink r:id="rId81">
        <w:r>
          <w:rPr>
            <w:color w:val="1D6977"/>
            <w:sz w:val="18"/>
          </w:rPr>
          <w:t>[R059]</w:t>
        </w:r>
      </w:hyperlink>
      <w:r>
        <w:t xml:space="preserve"> </w:t>
      </w:r>
      <w:hyperlink r:id="rId63">
        <w:r>
          <w:rPr>
            <w:color w:val="1D6977"/>
            <w:sz w:val="18"/>
          </w:rPr>
          <w:t>[R060]</w:t>
        </w:r>
      </w:hyperlink>
      <w:r>
        <w:t xml:space="preserve"> </w:t>
      </w:r>
      <w:hyperlink r:id="rId82">
        <w:r>
          <w:rPr>
            <w:color w:val="1D6977"/>
            <w:sz w:val="18"/>
          </w:rPr>
          <w:t>[R061]</w:t>
        </w:r>
      </w:hyperlink>
      <w:r>
        <w:t xml:space="preserve"> </w:t>
      </w:r>
      <w:hyperlink r:id="rId83">
        <w:r>
          <w:rPr>
            <w:color w:val="1D6977"/>
            <w:sz w:val="18"/>
          </w:rPr>
          <w:t>[R062]</w:t>
        </w:r>
      </w:hyperlink>
      <w:r>
        <w:t xml:space="preserve"> </w:t>
      </w:r>
      <w:hyperlink r:id="rId84">
        <w:r>
          <w:rPr>
            <w:color w:val="1D6977"/>
            <w:sz w:val="18"/>
          </w:rPr>
          <w:t>[R065]</w:t>
        </w:r>
      </w:hyperlink>
      <w:r>
        <w:t xml:space="preserve"> </w:t>
      </w:r>
      <w:hyperlink r:id="rId85">
        <w:r>
          <w:rPr>
            <w:color w:val="1D6977"/>
            <w:sz w:val="18"/>
          </w:rPr>
          <w:t>[R066]</w:t>
        </w:r>
      </w:hyperlink>
    </w:p>
    <w:p>
      <w:pPr>
        <w:pStyle w:val="Heading1"/>
      </w:pPr>
      <w:r>
        <w:t>4. Карта прав и практического использования</w:t>
      </w:r>
    </w:p>
    <w:p>
      <w:pPr>
        <w:pStyle w:val="Heading2"/>
      </w:pPr>
      <w:r>
        <w:t>Что можно размещать при выполнении условий</w:t>
      </w:r>
    </w:p>
    <w:p>
      <w:r>
        <w:rPr>
          <w:b w:val="0"/>
        </w:rPr>
      </w:r>
      <w:r>
        <w:rPr>
          <w:b/>
        </w:rPr>
        <w:t>Тринадцать PDF UCLA/Jogye: CC BY-NC-ND 3.0 Unported.</w:t>
      </w:r>
      <w:r>
        <w:rPr>
          <w:b w:val="0"/>
        </w:rPr>
        <w:t xml:space="preserve"> Разрешение относится к опубликованной английской серии. Практический сценарий ToS — размещение неизменённого файла с полной атрибуцией и сохранённым уведомлением, без коммерческого использования. Из этого разрешения не выведено право публично распространять новый перевод, реконструкцию или изменённую транскрипцию. Лицензия не перенесена на весь Han’guk Pulgyo chŏnsŏ, сторонние фотографии или другие продукты UCLA.</w:t>
      </w:r>
      <w:r>
        <w:t xml:space="preserve"> </w:t>
      </w:r>
      <w:hyperlink r:id="rId86">
        <w:r>
          <w:rPr>
            <w:color w:val="1D6977"/>
            <w:sz w:val="18"/>
          </w:rPr>
          <w:t>[R001]</w:t>
        </w:r>
      </w:hyperlink>
    </w:p>
    <w:p>
      <w:r>
        <w:rPr>
          <w:b w:val="0"/>
        </w:rPr>
      </w:r>
      <w:r>
        <w:rPr>
          <w:b/>
        </w:rPr>
        <w:t>CBETA: выбранные тексты Taishō и Xuzang, CC BY-NC-SA 4.0.</w:t>
      </w:r>
      <w:r>
        <w:rPr>
          <w:b w:val="0"/>
        </w:rPr>
        <w:t xml:space="preserve"> Официальная политика относит их к открытой категории A; ряд современных авторских собраний исключён в категорию B. Для выбранного XML допустимы некоммерческое распространение с атрибуцией и соблюдением ShareAlike, а также соответствующий некоммерческий полнотекстовый индекс. EMBEDDINGS_OK означает внутренний некоммерческий исследовательский индекс, не публикацию весов модели или производного датасета.</w:t>
      </w:r>
      <w:r>
        <w:t xml:space="preserve"> </w:t>
      </w:r>
      <w:hyperlink r:id="rId65">
        <w:r>
          <w:rPr>
            <w:color w:val="1D6977"/>
            <w:sz w:val="18"/>
          </w:rPr>
          <w:t>[R020]</w:t>
        </w:r>
      </w:hyperlink>
      <w:r>
        <w:t xml:space="preserve"> </w:t>
      </w:r>
      <w:hyperlink r:id="rId16">
        <w:r>
          <w:rPr>
            <w:color w:val="1D6977"/>
            <w:sz w:val="18"/>
          </w:rPr>
          <w:t>[R021]</w:t>
        </w:r>
      </w:hyperlink>
      <w:r>
        <w:t xml:space="preserve"> </w:t>
      </w:r>
      <w:hyperlink r:id="rId13">
        <w:r>
          <w:rPr>
            <w:color w:val="1D6977"/>
            <w:sz w:val="18"/>
          </w:rPr>
          <w:t>[R022]</w:t>
        </w:r>
      </w:hyperlink>
      <w:r>
        <w:t xml:space="preserve"> </w:t>
      </w:r>
      <w:hyperlink r:id="rId87">
        <w:r>
          <w:rPr>
            <w:color w:val="1D6977"/>
            <w:sz w:val="18"/>
          </w:rPr>
          <w:t>[Политика CBETA]</w:t>
        </w:r>
      </w:hyperlink>
    </w:p>
    <w:p>
      <w:r>
        <w:rPr>
          <w:b w:val="0"/>
        </w:rPr>
        <w:t>В той же политике CBETA есть дополнительная формулировка о сохранении существенного содержания и упоминание переработки среди случаев обращения к правообладателю. Она создаёт неоднозначность рядом с CC BY-NC-SA. Публичные переводы, существенные изменения и реконструкции оставлены под RIGHTS_REVIEW_REQUIRED. Это осторожное ограничение вывода реестра, а не заявление, будто стандартная лицензия SA запрещает все производные работы.</w:t>
      </w:r>
    </w:p>
    <w:p>
      <w:r>
        <w:rPr>
          <w:b w:val="0"/>
        </w:rPr>
      </w:r>
      <w:r>
        <w:rPr>
          <w:b/>
        </w:rPr>
        <w:t>Калтон: собственное разрешение, не Creative Commons.</w:t>
      </w:r>
      <w:r>
        <w:rPr>
          <w:b w:val="0"/>
        </w:rPr>
        <w:t xml:space="preserve"> Автор допускает печать, переформатирование и распространение в компьютерных сетях при отсутствии платы и за распространение, и за использование. Условие «без платы» следует сохранять буквально, а не заменять более расплывчатым ярлыком NC. Предлагаемая автором поисковая версия поддерживает бесплатный текстовый поиск; новый перевод и содержательная переработка отдельно не разрешены данным исследованием.</w:t>
      </w:r>
      <w:r>
        <w:t xml:space="preserve"> </w:t>
      </w:r>
      <w:hyperlink r:id="rId58">
        <w:r>
          <w:rPr>
            <w:color w:val="1D6977"/>
            <w:sz w:val="18"/>
          </w:rPr>
          <w:t>[R053]</w:t>
        </w:r>
      </w:hyperlink>
      <w:r>
        <w:t xml:space="preserve"> </w:t>
      </w:r>
      <w:hyperlink r:id="rId88">
        <w:r>
          <w:rPr>
            <w:color w:val="1D6977"/>
            <w:sz w:val="18"/>
          </w:rPr>
          <w:t>[Авторское разрешение]</w:t>
        </w:r>
      </w:hyperlink>
    </w:p>
    <w:p>
      <w:pPr>
        <w:pStyle w:val="Heading2"/>
      </w:pPr>
      <w:r>
        <w:t>Что доступно, но не получило разрешения на зеркало</w:t>
      </w:r>
    </w:p>
    <w:p>
      <w:r>
        <w:rPr>
          <w:b w:val="0"/>
        </w:rPr>
      </w:r>
      <w:r>
        <w:rPr>
          <w:b/>
        </w:rPr>
        <w:t>Официальные бесплатные PDF с защищённым переводом:</w:t>
      </w:r>
      <w:r>
        <w:rPr>
          <w:b w:val="0"/>
        </w:rPr>
        <w:t xml:space="preserve"> BDK, HIKS и русские статьи ИВР РАН. Их можно читать и загружать в пределах опубликованного предложения доступа. LOCAL_RESEARCH_COPY означает такую локальную исследовательскую копию; это не разрешение на публичный сервер, выдачу пользователям, открытый OCR, полнотекстовый индекс или embeddings. Отсутствие найденной открытой лицензии не является причиной удалять законную ссылку.</w:t>
      </w:r>
      <w:r>
        <w:t xml:space="preserve"> </w:t>
      </w:r>
      <w:hyperlink r:id="rId37">
        <w:r>
          <w:rPr>
            <w:color w:val="1D6977"/>
            <w:sz w:val="18"/>
          </w:rPr>
          <w:t>[R032]</w:t>
        </w:r>
      </w:hyperlink>
      <w:r>
        <w:t xml:space="preserve"> </w:t>
      </w:r>
      <w:hyperlink r:id="rId44">
        <w:r>
          <w:rPr>
            <w:color w:val="1D6977"/>
            <w:sz w:val="18"/>
          </w:rPr>
          <w:t>[R036]</w:t>
        </w:r>
      </w:hyperlink>
      <w:r>
        <w:t xml:space="preserve"> </w:t>
      </w:r>
      <w:hyperlink r:id="rId45">
        <w:r>
          <w:rPr>
            <w:color w:val="1D6977"/>
            <w:sz w:val="18"/>
          </w:rPr>
          <w:t>[R037]</w:t>
        </w:r>
      </w:hyperlink>
      <w:r>
        <w:t xml:space="preserve"> </w:t>
      </w:r>
      <w:hyperlink r:id="rId46">
        <w:r>
          <w:rPr>
            <w:color w:val="1D6977"/>
            <w:sz w:val="18"/>
          </w:rPr>
          <w:t>[R038]</w:t>
        </w:r>
      </w:hyperlink>
      <w:r>
        <w:t xml:space="preserve"> </w:t>
      </w:r>
      <w:hyperlink r:id="rId47">
        <w:r>
          <w:rPr>
            <w:color w:val="1D6977"/>
            <w:sz w:val="18"/>
          </w:rPr>
          <w:t>[R039]</w:t>
        </w:r>
      </w:hyperlink>
      <w:r>
        <w:t xml:space="preserve"> </w:t>
      </w:r>
      <w:hyperlink r:id="rId48">
        <w:r>
          <w:rPr>
            <w:color w:val="1D6977"/>
            <w:sz w:val="18"/>
          </w:rPr>
          <w:t>[R040]</w:t>
        </w:r>
      </w:hyperlink>
      <w:r>
        <w:t xml:space="preserve"> </w:t>
      </w:r>
      <w:hyperlink r:id="rId53">
        <w:r>
          <w:rPr>
            <w:color w:val="1D6977"/>
            <w:sz w:val="18"/>
          </w:rPr>
          <w:t>[R041]</w:t>
        </w:r>
      </w:hyperlink>
      <w:r>
        <w:t xml:space="preserve"> </w:t>
      </w:r>
      <w:hyperlink r:id="rId79">
        <w:r>
          <w:rPr>
            <w:color w:val="1D6977"/>
            <w:sz w:val="18"/>
          </w:rPr>
          <w:t>[R042]</w:t>
        </w:r>
      </w:hyperlink>
      <w:r>
        <w:t xml:space="preserve"> </w:t>
      </w:r>
      <w:hyperlink r:id="rId73">
        <w:r>
          <w:rPr>
            <w:color w:val="1D6977"/>
            <w:sz w:val="18"/>
          </w:rPr>
          <w:t>[R063]</w:t>
        </w:r>
      </w:hyperlink>
      <w:r>
        <w:t xml:space="preserve"> </w:t>
      </w:r>
      <w:hyperlink r:id="rId67">
        <w:r>
          <w:rPr>
            <w:color w:val="1D6977"/>
            <w:sz w:val="18"/>
          </w:rPr>
          <w:t>[R064]</w:t>
        </w:r>
      </w:hyperlink>
    </w:p>
    <w:p>
      <w:r>
        <w:rPr>
          <w:b w:val="0"/>
        </w:rPr>
      </w:r>
      <w:r>
        <w:rPr>
          <w:b/>
        </w:rPr>
        <w:t>Текстовые PDF NTU/старых выпусков CBETA</w:t>
      </w:r>
      <w:r>
        <w:rPr>
          <w:b w:val="0"/>
        </w:rPr>
        <w:t xml:space="preserve"> имеют собственные уведомления и некоммерческие условия. Современная политика CBETA не переносилась автоматически на любой старый PDF стороннего репозитория. Вывод ограничен конкретным файлом и сохранением его уведомлений; производные издания требуют отдельного разбора.</w:t>
      </w:r>
      <w:r>
        <w:t xml:space="preserve"> </w:t>
      </w:r>
      <w:hyperlink r:id="rId14">
        <w:r>
          <w:rPr>
            <w:color w:val="1D6977"/>
            <w:sz w:val="18"/>
          </w:rPr>
          <w:t>[R015]</w:t>
        </w:r>
      </w:hyperlink>
      <w:r>
        <w:t xml:space="preserve"> </w:t>
      </w:r>
      <w:hyperlink r:id="rId15">
        <w:r>
          <w:rPr>
            <w:color w:val="1D6977"/>
            <w:sz w:val="18"/>
          </w:rPr>
          <w:t>[R016]</w:t>
        </w:r>
      </w:hyperlink>
      <w:r>
        <w:t xml:space="preserve"> </w:t>
      </w:r>
      <w:hyperlink r:id="rId68">
        <w:r>
          <w:rPr>
            <w:color w:val="1D6977"/>
            <w:sz w:val="18"/>
          </w:rPr>
          <w:t>[R017]</w:t>
        </w:r>
      </w:hyperlink>
      <w:r>
        <w:t xml:space="preserve"> </w:t>
      </w:r>
      <w:hyperlink r:id="rId60">
        <w:r>
          <w:rPr>
            <w:color w:val="1D6977"/>
            <w:sz w:val="18"/>
          </w:rPr>
          <w:t>[R018]</w:t>
        </w:r>
      </w:hyperlink>
      <w:r>
        <w:t xml:space="preserve"> </w:t>
      </w:r>
      <w:hyperlink r:id="rId71">
        <w:r>
          <w:rPr>
            <w:color w:val="1D6977"/>
            <w:sz w:val="18"/>
          </w:rPr>
          <w:t>[R019]</w:t>
        </w:r>
      </w:hyperlink>
      <w:r>
        <w:t xml:space="preserve"> </w:t>
      </w:r>
      <w:hyperlink r:id="rId30">
        <w:r>
          <w:rPr>
            <w:color w:val="1D6977"/>
            <w:sz w:val="18"/>
          </w:rPr>
          <w:t>[R052]</w:t>
        </w:r>
      </w:hyperlink>
      <w:r>
        <w:t xml:space="preserve"> </w:t>
      </w:r>
      <w:hyperlink r:id="rId89">
        <w:r>
          <w:rPr>
            <w:color w:val="1D6977"/>
            <w:sz w:val="18"/>
          </w:rPr>
          <w:t>[Условия NTU]</w:t>
        </w:r>
      </w:hyperlink>
    </w:p>
    <w:p>
      <w:r>
        <w:rPr>
          <w:b w:val="0"/>
        </w:rPr>
      </w:r>
      <w:r>
        <w:rPr>
          <w:b/>
        </w:rPr>
        <w:t>Purchase, institutional access, preview и metadata-only</w:t>
      </w:r>
      <w:r>
        <w:rPr>
          <w:b w:val="0"/>
        </w:rPr>
        <w:t xml:space="preserve"> сохранены как полезные маршруты. UHP и электронные издательские платформы дают наиболее качественные критические переводы ряда текстов, но не право зеркалирования. ИВР РАН для двух русских книг даёт preview; Jangseogak, UNESCO, BnF и отдельные исторические базы — карточки или частичный материал. Право на фотографию либо полный файл из этого не следует.</w:t>
      </w:r>
      <w:r>
        <w:t xml:space="preserve"> </w:t>
      </w:r>
      <w:hyperlink r:id="rId74">
        <w:r>
          <w:rPr>
            <w:color w:val="1D6977"/>
            <w:sz w:val="18"/>
          </w:rPr>
          <w:t>[R023]</w:t>
        </w:r>
      </w:hyperlink>
      <w:r>
        <w:t xml:space="preserve"> </w:t>
      </w:r>
      <w:hyperlink r:id="rId66">
        <w:r>
          <w:rPr>
            <w:color w:val="1D6977"/>
            <w:sz w:val="18"/>
          </w:rPr>
          <w:t>[R024]</w:t>
        </w:r>
      </w:hyperlink>
      <w:r>
        <w:t xml:space="preserve"> </w:t>
      </w:r>
      <w:hyperlink r:id="rId69">
        <w:r>
          <w:rPr>
            <w:color w:val="1D6977"/>
            <w:sz w:val="18"/>
          </w:rPr>
          <w:t>[R025]</w:t>
        </w:r>
      </w:hyperlink>
      <w:r>
        <w:t xml:space="preserve"> </w:t>
      </w:r>
      <w:hyperlink r:id="rId35">
        <w:r>
          <w:rPr>
            <w:color w:val="1D6977"/>
            <w:sz w:val="18"/>
          </w:rPr>
          <w:t>[R026]</w:t>
        </w:r>
      </w:hyperlink>
      <w:r>
        <w:t xml:space="preserve"> </w:t>
      </w:r>
      <w:hyperlink r:id="rId76">
        <w:r>
          <w:rPr>
            <w:color w:val="1D6977"/>
            <w:sz w:val="18"/>
          </w:rPr>
          <w:t>[R027]</w:t>
        </w:r>
      </w:hyperlink>
      <w:r>
        <w:t xml:space="preserve"> </w:t>
      </w:r>
      <w:hyperlink r:id="rId75">
        <w:r>
          <w:rPr>
            <w:color w:val="1D6977"/>
            <w:sz w:val="18"/>
          </w:rPr>
          <w:t>[R028]</w:t>
        </w:r>
      </w:hyperlink>
      <w:r>
        <w:t xml:space="preserve"> </w:t>
      </w:r>
      <w:hyperlink r:id="rId70">
        <w:r>
          <w:rPr>
            <w:color w:val="1D6977"/>
            <w:sz w:val="18"/>
          </w:rPr>
          <w:t>[R029]</w:t>
        </w:r>
      </w:hyperlink>
      <w:r>
        <w:t xml:space="preserve"> </w:t>
      </w:r>
      <w:hyperlink r:id="rId77">
        <w:r>
          <w:rPr>
            <w:color w:val="1D6977"/>
            <w:sz w:val="18"/>
          </w:rPr>
          <w:t>[R030]</w:t>
        </w:r>
      </w:hyperlink>
      <w:r>
        <w:t xml:space="preserve"> </w:t>
      </w:r>
      <w:hyperlink r:id="rId72">
        <w:r>
          <w:rPr>
            <w:color w:val="1D6977"/>
            <w:sz w:val="18"/>
          </w:rPr>
          <w:t>[R031]</w:t>
        </w:r>
      </w:hyperlink>
      <w:r>
        <w:t xml:space="preserve"> </w:t>
      </w:r>
      <w:hyperlink r:id="rId38">
        <w:r>
          <w:rPr>
            <w:color w:val="1D6977"/>
            <w:sz w:val="18"/>
          </w:rPr>
          <w:t>[R033]</w:t>
        </w:r>
      </w:hyperlink>
      <w:r>
        <w:t xml:space="preserve"> </w:t>
      </w:r>
      <w:hyperlink r:id="rId20">
        <w:r>
          <w:rPr>
            <w:color w:val="1D6977"/>
            <w:sz w:val="18"/>
          </w:rPr>
          <w:t>[R055]</w:t>
        </w:r>
      </w:hyperlink>
      <w:r>
        <w:t xml:space="preserve"> </w:t>
      </w:r>
      <w:hyperlink r:id="rId81">
        <w:r>
          <w:rPr>
            <w:color w:val="1D6977"/>
            <w:sz w:val="18"/>
          </w:rPr>
          <w:t>[R059]</w:t>
        </w:r>
      </w:hyperlink>
      <w:r>
        <w:t xml:space="preserve"> </w:t>
      </w:r>
      <w:hyperlink r:id="rId63">
        <w:r>
          <w:rPr>
            <w:color w:val="1D6977"/>
            <w:sz w:val="18"/>
          </w:rPr>
          <w:t>[R060]</w:t>
        </w:r>
      </w:hyperlink>
      <w:r>
        <w:t xml:space="preserve"> </w:t>
      </w:r>
      <w:hyperlink r:id="rId82">
        <w:r>
          <w:rPr>
            <w:color w:val="1D6977"/>
            <w:sz w:val="18"/>
          </w:rPr>
          <w:t>[R061]</w:t>
        </w:r>
      </w:hyperlink>
      <w:r>
        <w:t xml:space="preserve"> </w:t>
      </w:r>
      <w:hyperlink r:id="rId83">
        <w:r>
          <w:rPr>
            <w:color w:val="1D6977"/>
            <w:sz w:val="18"/>
          </w:rPr>
          <w:t>[R062]</w:t>
        </w:r>
      </w:hyperlink>
      <w:r>
        <w:t xml:space="preserve"> </w:t>
      </w:r>
      <w:hyperlink r:id="rId84">
        <w:r>
          <w:rPr>
            <w:color w:val="1D6977"/>
            <w:sz w:val="18"/>
          </w:rPr>
          <w:t>[R065]</w:t>
        </w:r>
      </w:hyperlink>
      <w:r>
        <w:t xml:space="preserve"> </w:t>
      </w:r>
      <w:hyperlink r:id="rId85">
        <w:r>
          <w:rPr>
            <w:color w:val="1D6977"/>
            <w:sz w:val="18"/>
          </w:rPr>
          <w:t>[R066]</w:t>
        </w:r>
      </w:hyperlink>
    </w:p>
    <w:p>
      <w:pPr>
        <w:pStyle w:val="Heading2"/>
      </w:pPr>
      <w:r>
        <w:t>Собственные переводы ToS и отдельные операции</w:t>
      </w:r>
    </w:p>
    <w:p>
      <w:r>
        <w:rPr>
          <w:b w:val="0"/>
        </w:rPr>
      </w:r>
      <w:r>
        <w:rPr>
          <w:b/>
        </w:rPr>
        <w:t>Чистая конкретная основа с положительным тегом найдена для древнего китайского «Лунь юя» в PG4094.</w:t>
      </w:r>
      <w:r>
        <w:rPr>
          <w:b w:val="0"/>
        </w:rPr>
        <w:t xml:space="preserve"> OWN_TRANSLATION_POSSIBLE ограничен этим китайским текстом, а не всеми Four Books, переводом-посредником или современным аппаратом. MIRROR_OK и операции с цифровым текстом дополнительно ограничены заявленным публичнодоменным статусом в США и условиями Project Gutenberg; для иных территорий оставлена проверка.</w:t>
      </w:r>
      <w:r>
        <w:t xml:space="preserve"> </w:t>
      </w:r>
      <w:hyperlink r:id="rId49">
        <w:r>
          <w:rPr>
            <w:color w:val="1D6977"/>
            <w:sz w:val="18"/>
          </w:rPr>
          <w:t>[R067]</w:t>
        </w:r>
      </w:hyperlink>
    </w:p>
    <w:p>
      <w:r>
        <w:rPr>
          <w:b w:val="0"/>
        </w:rPr>
        <w:t>Для ханмунных текстов CBETA основа идентифицирована, но публичный перевод требует проверки из-за современных редакционных слоёв и формулировок политики. Для защищённых переводов чистая основа не установлена. Ни один музейный маршрут не получил безусловного OCR_OK: там либо подтверждена только карточка, либо недоступны сам скан и его item-level rights statement. XML не требует OCR, но его лицензия всё равно сопровождает индекс.</w:t>
      </w:r>
    </w:p>
    <w:p>
      <w:r>
        <w:rPr>
          <w:b w:val="0"/>
        </w:rPr>
        <w:t xml:space="preserve">Теги XLSX действуют </w:t>
      </w:r>
      <w:r>
        <w:rPr>
          <w:b/>
        </w:rPr>
        <w:t>только совместно с rights_scope и coverage</w:t>
      </w:r>
      <w:r>
        <w:rPr>
          <w:b w:val="0"/>
        </w:rPr>
        <w:t>. RIGHTS_REVIEW_REQUIRED не отменяет подтверждённое чтение или разрешённое неизменённое некоммерческое зеркало, но блокирует расширение разрешения на другие компоненты и действия. «High» в rights_confidence может означать высокую уверенность в защищённом статусе, а не высокую свободу использования.</w:t>
      </w:r>
    </w:p>
    <w:p>
      <w:pPr>
        <w:pStyle w:val="Heading1"/>
      </w:pPr>
      <w:r>
        <w:t>5. Характерные правовые и текстологические тонкости</w:t>
      </w:r>
    </w:p>
    <w:p>
      <w:r>
        <w:rPr>
          <w:b w:val="0"/>
        </w:rPr>
      </w:r>
      <w:r>
        <w:rPr>
          <w:b/>
        </w:rPr>
        <w:t>Оригинал, издание и цифровая транскрипция — разные слои.</w:t>
      </w:r>
      <w:r>
        <w:rPr>
          <w:b w:val="0"/>
        </w:rPr>
        <w:t xml:space="preserve"> Hanmun-комментарий VII века не становится современным по дате XML; современная пунктуация, исправления и аппарат не становятся древними по авторству Вонхё. В нескольких XML явно отмечена новая, в том числе AI-пунктуация: её нельзя выдавать за состояние исторического свидетеля.</w:t>
      </w:r>
      <w:r>
        <w:t xml:space="preserve"> </w:t>
      </w:r>
      <w:hyperlink r:id="rId36">
        <w:r>
          <w:rPr>
            <w:color w:val="1D6977"/>
            <w:sz w:val="18"/>
          </w:rPr>
          <w:t>[R044]</w:t>
        </w:r>
      </w:hyperlink>
      <w:r>
        <w:t xml:space="preserve"> </w:t>
      </w:r>
      <w:hyperlink r:id="rId28">
        <w:r>
          <w:rPr>
            <w:color w:val="1D6977"/>
            <w:sz w:val="18"/>
          </w:rPr>
          <w:t>[R046]</w:t>
        </w:r>
      </w:hyperlink>
    </w:p>
    <w:p>
      <w:r>
        <w:rPr>
          <w:b w:val="0"/>
        </w:rPr>
      </w:r>
      <w:r>
        <w:rPr>
          <w:b/>
        </w:rPr>
        <w:t>Taishō/Xuzang не тождественны Tripitaka Koreana.</w:t>
      </w:r>
      <w:r>
        <w:rPr>
          <w:b w:val="0"/>
        </w:rPr>
        <w:t xml:space="preserve"> Один текст может входить в разные канонические редакции. Доступ к T1730 или T2184 не доказывает доступа к доске Хэинса, а номер канона не является инвентарным номером рукописи. Каталог Ыйчхона, его доктринальная компиляция и исторический Kyojang — тоже не один объект.</w:t>
      </w:r>
      <w:r>
        <w:t xml:space="preserve"> </w:t>
      </w:r>
      <w:hyperlink r:id="rId60">
        <w:r>
          <w:rPr>
            <w:color w:val="1D6977"/>
            <w:sz w:val="18"/>
          </w:rPr>
          <w:t>[R018]</w:t>
        </w:r>
      </w:hyperlink>
      <w:r>
        <w:t xml:space="preserve"> </w:t>
      </w:r>
      <w:hyperlink r:id="rId16">
        <w:r>
          <w:rPr>
            <w:color w:val="1D6977"/>
            <w:sz w:val="18"/>
          </w:rPr>
          <w:t>[R021]</w:t>
        </w:r>
      </w:hyperlink>
      <w:r>
        <w:t xml:space="preserve"> </w:t>
      </w:r>
      <w:hyperlink r:id="rId36">
        <w:r>
          <w:rPr>
            <w:color w:val="1D6977"/>
            <w:sz w:val="18"/>
          </w:rPr>
          <w:t>[R044]</w:t>
        </w:r>
      </w:hyperlink>
      <w:r>
        <w:t xml:space="preserve"> </w:t>
      </w:r>
      <w:hyperlink r:id="rId82">
        <w:r>
          <w:rPr>
            <w:color w:val="1D6977"/>
            <w:sz w:val="18"/>
          </w:rPr>
          <w:t>[R061]</w:t>
        </w:r>
      </w:hyperlink>
    </w:p>
    <w:p>
      <w:r>
        <w:rPr>
          <w:b w:val="0"/>
        </w:rPr>
      </w:r>
      <w:r>
        <w:rPr>
          <w:b/>
        </w:rPr>
        <w:t>Предисловие не равно большому комментарию.</w:t>
      </w:r>
      <w:r>
        <w:rPr>
          <w:b w:val="0"/>
        </w:rPr>
        <w:t xml:space="preserve"> В CWKB 1 есть предисловия к нескольким текстам, но не их полный объём. CWKB 2 даёт введение и заключение Hwaŏm non chŏryo, не весь сокращённый корпус. Современная книга о фрагментарных трудах Вонхё не устраняет лакуны древнего текста. Поэтому значительная доля coverage — selected_sections или substantial_part.</w:t>
      </w:r>
      <w:r>
        <w:t xml:space="preserve"> </w:t>
      </w:r>
      <w:hyperlink r:id="rId64">
        <w:r>
          <w:rPr>
            <w:color w:val="1D6977"/>
            <w:sz w:val="18"/>
          </w:rPr>
          <w:t>[R002]</w:t>
        </w:r>
      </w:hyperlink>
      <w:r>
        <w:t xml:space="preserve"> </w:t>
      </w:r>
      <w:hyperlink r:id="rId31">
        <w:r>
          <w:rPr>
            <w:color w:val="1D6977"/>
            <w:sz w:val="18"/>
          </w:rPr>
          <w:t>[R003]</w:t>
        </w:r>
      </w:hyperlink>
      <w:r>
        <w:t xml:space="preserve"> </w:t>
      </w:r>
      <w:hyperlink r:id="rId20">
        <w:r>
          <w:rPr>
            <w:color w:val="1D6977"/>
            <w:sz w:val="18"/>
          </w:rPr>
          <w:t>[R055]</w:t>
        </w:r>
      </w:hyperlink>
      <w:r>
        <w:t xml:space="preserve"> </w:t>
      </w:r>
      <w:hyperlink r:id="rId21">
        <w:r>
          <w:rPr>
            <w:color w:val="1D6977"/>
            <w:sz w:val="18"/>
          </w:rPr>
          <w:t>[R073]</w:t>
        </w:r>
      </w:hyperlink>
    </w:p>
    <w:p>
      <w:r>
        <w:rPr>
          <w:b w:val="0"/>
        </w:rPr>
      </w:r>
      <w:r>
        <w:rPr>
          <w:b/>
        </w:rPr>
        <w:t>Свидетель и перевод требуют проверки полноты.</w:t>
      </w:r>
      <w:r>
        <w:rPr>
          <w:b w:val="0"/>
        </w:rPr>
        <w:t xml:space="preserve"> Jikji BnF — второй том металлической печати 1377 года; рукопись Хечхо — фрагмент, не весь первоначальный труд. Полный файл антологии стел — не полный цифровой корпус корейской эпиграфики. Девять разворотов ознакомительного PDF Haedong goseungjeon — не вся русская книга.</w:t>
      </w:r>
      <w:r>
        <w:t xml:space="preserve"> </w:t>
      </w:r>
      <w:hyperlink r:id="rId34">
        <w:r>
          <w:rPr>
            <w:color w:val="1D6977"/>
            <w:sz w:val="18"/>
          </w:rPr>
          <w:t>[R014]</w:t>
        </w:r>
      </w:hyperlink>
      <w:r>
        <w:t xml:space="preserve"> </w:t>
      </w:r>
      <w:hyperlink r:id="rId81">
        <w:r>
          <w:rPr>
            <w:color w:val="1D6977"/>
            <w:sz w:val="18"/>
          </w:rPr>
          <w:t>[R059]</w:t>
        </w:r>
      </w:hyperlink>
      <w:r>
        <w:t xml:space="preserve"> </w:t>
      </w:r>
      <w:hyperlink r:id="rId63">
        <w:r>
          <w:rPr>
            <w:color w:val="1D6977"/>
            <w:sz w:val="18"/>
          </w:rPr>
          <w:t>[R060]</w:t>
        </w:r>
      </w:hyperlink>
      <w:r>
        <w:t xml:space="preserve"> </w:t>
      </w:r>
      <w:hyperlink r:id="rId85">
        <w:r>
          <w:rPr>
            <w:color w:val="1D6977"/>
            <w:sz w:val="18"/>
          </w:rPr>
          <w:t>[R066]</w:t>
        </w:r>
      </w:hyperlink>
    </w:p>
    <w:p>
      <w:r>
        <w:rPr>
          <w:b w:val="0"/>
        </w:rPr>
      </w:r>
      <w:r>
        <w:rPr>
          <w:b/>
        </w:rPr>
        <w:t>Старое издание не даёт глобального разрешения.</w:t>
      </w:r>
      <w:r>
        <w:rPr>
          <w:b w:val="0"/>
        </w:rPr>
        <w:t xml:space="preserve"> Для Suzuki 1900 сохранена американская и платформенная оговорка; для Four Books [19--?] не выдумана точная дата. Public Domain Mark не трактуется как лицензия. Библиотечная provenance повышает надёжность маршрута, но не заменяет проверку применимого права.</w:t>
      </w:r>
      <w:r>
        <w:t xml:space="preserve"> </w:t>
      </w:r>
      <w:hyperlink r:id="rId80">
        <w:r>
          <w:rPr>
            <w:color w:val="1D6977"/>
            <w:sz w:val="18"/>
          </w:rPr>
          <w:t>[R058]</w:t>
        </w:r>
      </w:hyperlink>
      <w:r>
        <w:t xml:space="preserve"> </w:t>
      </w:r>
      <w:hyperlink r:id="rId51">
        <w:r>
          <w:rPr>
            <w:color w:val="1D6977"/>
            <w:sz w:val="18"/>
          </w:rPr>
          <w:t>[R075]</w:t>
        </w:r>
      </w:hyperlink>
      <w:r>
        <w:t xml:space="preserve"> </w:t>
      </w:r>
      <w:hyperlink r:id="rId52">
        <w:r>
          <w:rPr>
            <w:color w:val="1D6977"/>
            <w:sz w:val="18"/>
          </w:rPr>
          <w:t>[R076]</w:t>
        </w:r>
      </w:hyperlink>
    </w:p>
    <w:p>
      <w:r>
        <w:rPr>
          <w:b w:val="0"/>
        </w:rPr>
      </w:r>
      <w:r>
        <w:rPr>
          <w:b/>
        </w:rPr>
        <w:t>Техническая кнопка — ещё не проверенный полный файл.</w:t>
      </w:r>
      <w:r>
        <w:rPr>
          <w:b w:val="0"/>
        </w:rPr>
        <w:t xml:space="preserve"> В BDK издатель подтверждает издание и предлагает загрузку, однако бинарная отдача не была полностью прочитана. В HathiTrust «Full view» в карточке не отменяет ошибку перехода. В MKS/ITKC загрузившаяся оболочка просмотрщика не засчитана как прочитанный оригинал.</w:t>
      </w:r>
      <w:r>
        <w:t xml:space="preserve"> </w:t>
      </w:r>
      <w:hyperlink r:id="rId44">
        <w:r>
          <w:rPr>
            <w:color w:val="1D6977"/>
            <w:sz w:val="18"/>
          </w:rPr>
          <w:t>[R036]</w:t>
        </w:r>
      </w:hyperlink>
      <w:r>
        <w:t xml:space="preserve"> </w:t>
      </w:r>
      <w:hyperlink r:id="rId42">
        <w:r>
          <w:rPr>
            <w:color w:val="1D6977"/>
            <w:sz w:val="18"/>
          </w:rPr>
          <w:t>[R068]</w:t>
        </w:r>
      </w:hyperlink>
      <w:r>
        <w:t xml:space="preserve"> </w:t>
      </w:r>
      <w:hyperlink r:id="rId52">
        <w:r>
          <w:rPr>
            <w:color w:val="1D6977"/>
            <w:sz w:val="18"/>
          </w:rPr>
          <w:t>[R076]</w:t>
        </w:r>
      </w:hyperlink>
    </w:p>
    <w:p>
      <w:pPr>
        <w:pStyle w:val="Heading1"/>
      </w:pPr>
      <w:r>
        <w:t>6. Пробелы и дальнейший поиск</w:t>
      </w:r>
    </w:p>
    <w:p>
      <w:r>
        <w:rPr>
          <w:b w:val="0"/>
        </w:rPr>
        <w:t>Пакет не является исчерпывающим каталогом всей корейской книжности. Основные ограничения запуска — время на дальнейшую поэкземплярную проверку и недоступность ряда динамических/факсимильных интерфейсов. Неоткрывшиеся ссылки проверялись альтернативными маршрутами, но не заменялись сомнительными зеркалами. Конкретные оставшиеся кандидаты сохранены на gaps; отсутствие полного доступа не обозначено отсутствием произведения.</w:t>
      </w:r>
    </w:p>
    <w:p>
      <w:pPr>
        <w:pStyle w:val="Heading2"/>
      </w:pPr>
      <w:r>
        <w:t>6.1. Корейский канон и японские свидетели · G001–G004</w:t>
      </w:r>
    </w:p>
    <w:p>
      <w:r>
        <w:rPr>
          <w:b w:val="0"/>
        </w:rPr>
        <w:t>Нужны полные item-level маршруты Tripitaka Koreana, различение первого и второго канонов, сохранившиеся оттиски первого корпуса и права на изображения досок. Для каталога Ыйчхона важен японский свидетель Kōzan-ji 1176 года: ABC_KJ_D_004_0011_007 не открылся. Для Simmun hwajaeng non нужны самостоятельные карточки сохранившихся фрагментов и досок, независимо от современного перевода. Приоритет — KABC, каталоги владельцев и номера экземпляров; затем IIIF/API, если они действительно опубликованы.</w:t>
      </w:r>
    </w:p>
    <w:p>
      <w:pPr>
        <w:pStyle w:val="Heading2"/>
      </w:pPr>
      <w:r>
        <w:t>6.2. Неполные оригиналы Вонхё, Hwaŏm и Yogācāra · G005–G009, G015–G017</w:t>
      </w:r>
    </w:p>
    <w:p>
      <w:r>
        <w:rPr>
          <w:b w:val="0"/>
        </w:rPr>
        <w:t>Продолжить поиск полных оригиналов либо точно описанной сохранности Nirvāṇa/Hwaŏm/Haesimmil-комментариев Вонхё; его отдельного Amitābha-комментария; полных Pŏpkyedo ki ch’ongsurok и комментариев Кюнё; Haein samādhi и Чевона. Для Вончхыка нужен точный тибетский маршрут сохранения недостающего китайского раздела, без заранее придуманного номера канона. Для корневого Avataṃsaka следует различить редакции, лежащие за конкретными корейскими комментариями.</w:t>
      </w:r>
    </w:p>
    <w:p>
      <w:pPr>
        <w:pStyle w:val="Heading2"/>
      </w:pPr>
      <w:r>
        <w:t>6.3. Чинуль, ŏnhae и Sŏn-компиляции · G010–G014, G018</w:t>
      </w:r>
    </w:p>
    <w:p>
      <w:r>
        <w:rPr>
          <w:b w:val="0"/>
        </w:rPr>
        <w:t>Проверить Susim kyŏl 1441 года (BJSSG_1441_A) и самостоятельную линию корейских ŏnhae, включая издания на рубеже 1500 года; даты перевода и печати нельзя сливать. Найти полный ханмун Excerpts on Zen Practice и Hwaŏm non chŏryo. Для Li Tongxuan T1739 карточка большого XML обнаружена, но raw-файл не удалось надёжно открыть: полный текст не засчитан. Полный Seonmun yeomsong seolhwa остаётся задачей поверх двух английских томов выборок.</w:t>
      </w:r>
    </w:p>
    <w:p>
      <w:pPr>
        <w:pStyle w:val="Heading2"/>
      </w:pPr>
      <w:r>
        <w:t>6.4. Полемика и конфуцианские собрания · G019–G027</w:t>
      </w:r>
    </w:p>
    <w:p>
      <w:r>
        <w:rPr>
          <w:b w:val="0"/>
        </w:rPr>
        <w:t>Повторить item-level доступ к Hyŏnjŏng-non, включая печать 1450 года, и найти комментарии Кихвы к Diamond и Perfect Enlightenment. Для Sambongjip нужны полные разделы, включая политические компиляции; для Квон Кына — ханмун Iphak tosŏl, Five Classics’ Shallow Views и работающий полный Yangchonjip. Отдельно проверить Mokeunjip, Ikjae nango и текстовую фиксацию линии Ан Хян — Пэк Иджон — И Чехён: не приписывать им неустановленные самостоятельные трактаты.</w:t>
      </w:r>
    </w:p>
    <w:p>
      <w:r>
        <w:rPr>
          <w:b w:val="0"/>
        </w:rPr>
        <w:t xml:space="preserve">Прямые продолжения </w:t>
      </w:r>
      <w:r>
        <w:rPr>
          <w:b/>
        </w:rPr>
        <w:t>Sok Iphak tosŏl Ким Бана</w:t>
      </w:r>
      <w:r>
        <w:rPr>
          <w:b w:val="0"/>
        </w:rPr>
        <w:t xml:space="preserve"> и диаграмматические сочинения </w:t>
      </w:r>
      <w:r>
        <w:rPr>
          <w:b/>
        </w:rPr>
        <w:t>Квон Чхэ</w:t>
      </w:r>
      <w:r>
        <w:rPr>
          <w:b w:val="0"/>
        </w:rPr>
        <w:t xml:space="preserve"> обнаружены как развитие учебной линии, но полноценный доступ, версии и точная сохранность не установлены. Для Four Books комментарий Чжу Си следует искать отдельно: двуязычный Legge не заменяет Sishu zhangju jizhu. В основной реестр эти недопроверенные варианты не перенесены.</w:t>
      </w:r>
      <w:r>
        <w:t xml:space="preserve"> </w:t>
      </w:r>
      <w:hyperlink r:id="rId90">
        <w:r>
          <w:rPr>
            <w:color w:val="1D6977"/>
            <w:sz w:val="18"/>
          </w:rPr>
          <w:t>[AKS: Iphak tosŏl]</w:t>
        </w:r>
      </w:hyperlink>
    </w:p>
    <w:p>
      <w:pPr>
        <w:pStyle w:val="Heading2"/>
      </w:pPr>
      <w:r>
        <w:t>6.5. Факсимиле BnF и языковой пограничный слой · G028–G030</w:t>
      </w:r>
    </w:p>
    <w:p>
      <w:r>
        <w:rPr>
          <w:b w:val="0"/>
        </w:rPr>
        <w:t xml:space="preserve">Сохранены устойчивые идентификаторы </w:t>
      </w:r>
      <w:r>
        <w:rPr>
          <w:b/>
        </w:rPr>
        <w:t>Coréen 109</w:t>
      </w:r>
      <w:r>
        <w:rPr>
          <w:b w:val="0"/>
        </w:rPr>
        <w:t xml:space="preserve"> для Jikji и </w:t>
      </w:r>
      <w:r>
        <w:rPr>
          <w:b/>
        </w:rPr>
        <w:t>Pelliot chinois 3532</w:t>
      </w:r>
      <w:r>
        <w:rPr>
          <w:b w:val="0"/>
        </w:rPr>
        <w:t xml:space="preserve"> для Хечхо. Gallica/IIIF-переходы возвращали ошибки; это не повод считать рукописи вообще неоцифрованными. Нужно открыть файлы, прочитать права конкретного объекта и не спутать Jikji 1377 с полной ксилографией 1378 года. Для Хечхо поиск должен включать сохранённые цитаты у Хуэйлиня в Yiqiejing yinyi; для Hunminjeongeum — полный факсимильный вход вместо одной UNESCO-карточки.</w:t>
      </w:r>
    </w:p>
    <w:p>
      <w:pPr>
        <w:pStyle w:val="Heading2"/>
      </w:pPr>
      <w:r>
        <w:t>6.6. Атрибуции и слабые кандидаты · G031</w:t>
      </w:r>
    </w:p>
    <w:p>
      <w:r>
        <w:rPr>
          <w:b w:val="0"/>
        </w:rPr>
        <w:t>Jinsim jikseol / 真心直說 и Zhengdaoge zhu / 證道歌註 появились в навигации под именем Чинуля, но приписывание не закреплено проверенным критическим источником. Они обозначены unverified_candidate. Следующий шаг — не поиск случайного PDF, а проверка авторства и версии в научном каталоге или критическом издании. Русские переводы, напротив, переведены из стадии навигационных подсказок в основной реестр благодаря официальным карточкам ИВР РАН.</w:t>
      </w:r>
    </w:p>
    <w:p>
      <w:pPr>
        <w:pStyle w:val="Heading2"/>
      </w:pPr>
      <w:r>
        <w:t>6.7. Библиотечная выдача и машинные интерфейсы · G032</w:t>
      </w:r>
    </w:p>
    <w:p>
      <w:r>
        <w:rPr>
          <w:b w:val="0"/>
        </w:rPr>
        <w:t>Реальная выдача пользователю, Controlled Digital Lending, доступ после регистрации и массовые API/OAI-PMH не подтверждены как рабочие маршруты к конкретным объектам. Соответствующие теги не добавлены ради полноты списка. Наличие бумажного комплекта CWKB в UCLA — библиографическая зацепка, не обещание права на выдачу. Подтверждённый машиночитаемый вход — GitHub/CBETA; HTML NIKH и страницы KABC не объявлены автоматически разрешёнными bulk-datasets.</w:t>
      </w:r>
    </w:p>
    <w:p>
      <w:r>
        <w:rPr>
          <w:b w:val="0"/>
        </w:rPr>
      </w:r>
      <w:r>
        <w:rPr>
          <w:b/>
        </w:rPr>
        <w:t>Что остаётся платным или институциональным в проверенном наборе:</w:t>
      </w:r>
      <w:r>
        <w:rPr>
          <w:b w:val="0"/>
        </w:rPr>
        <w:t xml:space="preserve"> полные современные научные переводы большого Vajrasamādhi-комментария Вонхё, Excerpts on Zen Practice Чинуля, четырёх трудных трактатов Вонхё, совместного полемического досье и соответствующих авторских подборок UHP. Для отдельных составляющих есть бесплатные альтернативы, но не равнозначная открытая версия всего конкретного издания.</w:t>
      </w:r>
      <w:r>
        <w:t xml:space="preserve"> </w:t>
      </w:r>
      <w:hyperlink r:id="rId74">
        <w:r>
          <w:rPr>
            <w:color w:val="1D6977"/>
            <w:sz w:val="18"/>
          </w:rPr>
          <w:t>[R023]</w:t>
        </w:r>
      </w:hyperlink>
      <w:r>
        <w:t xml:space="preserve"> </w:t>
      </w:r>
      <w:hyperlink r:id="rId66">
        <w:r>
          <w:rPr>
            <w:color w:val="1D6977"/>
            <w:sz w:val="18"/>
          </w:rPr>
          <w:t>[R024]</w:t>
        </w:r>
      </w:hyperlink>
      <w:r>
        <w:t xml:space="preserve"> </w:t>
      </w:r>
      <w:hyperlink r:id="rId69">
        <w:r>
          <w:rPr>
            <w:color w:val="1D6977"/>
            <w:sz w:val="18"/>
          </w:rPr>
          <w:t>[R025]</w:t>
        </w:r>
      </w:hyperlink>
      <w:r>
        <w:t xml:space="preserve"> </w:t>
      </w:r>
      <w:hyperlink r:id="rId35">
        <w:r>
          <w:rPr>
            <w:color w:val="1D6977"/>
            <w:sz w:val="18"/>
          </w:rPr>
          <w:t>[R026]</w:t>
        </w:r>
      </w:hyperlink>
      <w:r>
        <w:t xml:space="preserve"> </w:t>
      </w:r>
      <w:hyperlink r:id="rId76">
        <w:r>
          <w:rPr>
            <w:color w:val="1D6977"/>
            <w:sz w:val="18"/>
          </w:rPr>
          <w:t>[R027]</w:t>
        </w:r>
      </w:hyperlink>
      <w:r>
        <w:t xml:space="preserve"> </w:t>
      </w:r>
      <w:hyperlink r:id="rId72">
        <w:r>
          <w:rPr>
            <w:color w:val="1D6977"/>
            <w:sz w:val="18"/>
          </w:rPr>
          <w:t>[R031]</w:t>
        </w:r>
      </w:hyperlink>
      <w:r>
        <w:t xml:space="preserve"> </w:t>
      </w:r>
      <w:hyperlink r:id="rId20">
        <w:r>
          <w:rPr>
            <w:color w:val="1D6977"/>
            <w:sz w:val="18"/>
          </w:rPr>
          <w:t>[R055]</w:t>
        </w:r>
      </w:hyperlink>
    </w:p>
    <w:p>
      <w:pPr>
        <w:pStyle w:val="Heading1"/>
        <w:pageBreakBefore/>
      </w:pPr>
      <w:r>
        <w:t>7. Итоговая оценка</w:t>
      </w:r>
    </w:p>
    <w:p>
      <w:r>
        <w:rPr>
          <w:b w:val="0"/>
        </w:rPr>
      </w:r>
      <w:r>
        <w:rPr>
          <w:b/>
        </w:rPr>
        <w:t>Покрытие.</w:t>
      </w:r>
      <w:r>
        <w:rPr>
          <w:b w:val="0"/>
        </w:rPr>
        <w:t xml:space="preserve"> Основные именные и корпусные якоря DR получили либо текстовый/переводной маршрут, либо точную институциональную карточку с записью пробела. Сильное покрытие достигнуто для буддийского авторского ядра и его английского перевода; более слабое — для полного конфуцианского ханмуна, ранних свидетелей и всего корёского канона. Расширение охватывает входящие сутры и классики, прямую Sŏn-преемственность, Тхвеге и поздние редакции; оно не превратилось в историю всей восточноазиатской традиции.</w:t>
      </w:r>
    </w:p>
    <w:p>
      <w:r>
        <w:rPr>
          <w:b w:val="0"/>
        </w:rPr>
      </w:r>
      <w:r>
        <w:rPr>
          <w:b/>
        </w:rPr>
        <w:t>Оригиналы и переводы.</w:t>
      </w:r>
      <w:r>
        <w:rPr>
          <w:b w:val="0"/>
        </w:rPr>
        <w:t xml:space="preserve"> XML CBETA и текстовые PDF дают практический доступ к важной части ханмуна, но не ко всем физическим свидетелям. Английский слой существенно шире русского. На русском проверены два полных перевода коротких произведений и два ознакомительных книжных фрагмента. Лучшие современные критические переводы сохранены и там, где доступны только за плату или через учреждение.</w:t>
      </w:r>
    </w:p>
    <w:p>
      <w:r>
        <w:rPr>
          <w:b w:val="0"/>
        </w:rPr>
      </w:r>
      <w:r>
        <w:rPr>
          <w:b/>
        </w:rPr>
        <w:t>Наиболее свободный слой.</w:t>
      </w:r>
      <w:r>
        <w:rPr>
          <w:b w:val="0"/>
        </w:rPr>
        <w:t xml:space="preserve"> Для программной работы — выбранные XML категории A CBETA с NC/SA и отмеченной проверкой производных действий; для некоммерческого размещения неизменённых переводных файлов — 13 томов UCLA; для прямой поздней конфуцианской рецепции — авторское разрешение Калтона. Безусловно свободным для всех территорий и любых способов использования весь набор не объявлен.</w:t>
      </w:r>
    </w:p>
    <w:p>
      <w:r>
        <w:rPr>
          <w:b w:val="0"/>
        </w:rPr>
      </w:r>
      <w:r>
        <w:rPr>
          <w:b/>
        </w:rPr>
        <w:t>Передача Codex.</w:t>
      </w:r>
      <w:r>
        <w:rPr>
          <w:b w:val="0"/>
        </w:rPr>
        <w:t xml:space="preserve"> Пакет пригоден как исследовательский вход: 32 согласованные колонки registry, уникальные record_id, отдельные поля доступа/полноты/четырёх слоёв прав, дата и статус проверки, конкретная очередь gaps. Это не список уже разрешённых к автоматической публикации файлов. Перед действием следует читать rights_scope, coverage, notes и rights_evidence_url совместно; запись с неясными правами должна оставаться ссылкой, а не превращаться в зеркало по одному тегу.</w:t>
      </w:r>
    </w:p>
    <w:sectPr w:rsidR="00FC693F" w:rsidRPr="0006063C" w:rsidSect="00034616">
      <w:headerReference w:type="default" r:id="rId9"/>
      <w:footerReference w:type="default" r:id="rId10"/>
      <w:pgSz w:w="11906" w:h="16838"/>
      <w:pgMar w:top="992" w:right="1077" w:bottom="935" w:left="1077" w:header="425"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Проверено 05.09.2026  •  Исследовательский пакет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TREE OF SOPHIA  /  CORPUS &amp; RIGHTS  /  T2-47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59" w:lineRule="auto"/>
    </w:pPr>
    <w:rPr>
      <w:rFonts w:ascii="Noto Sans" w:hAnsi="Noto Sans" w:eastAsia="Noto Sans CJK KR"/>
      <w:color w:val="202D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Noto Sans" w:hAnsi="Noto Sans"/>
      <w:color w:val="61727A"/>
      <w:sz w:val="16"/>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Noto Sans" w:hAnsi="Noto Sans"/>
      <w:color w:val="61727A"/>
      <w:sz w:val="16"/>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Noto Sans" w:hAnsi="Noto Sans" w:eastAsia="Noto Sans CJK KR"/>
      <w:b/>
      <w:bCs/>
      <w:color w:val="173C47"/>
      <w:sz w:val="34"/>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Noto Sans" w:hAnsi="Noto Sans" w:eastAsia="Noto Sans CJK KR"/>
      <w:b/>
      <w:bCs/>
      <w:color w:val="173C47"/>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Noto Sans" w:hAnsi="Noto Sans" w:eastAsia="Noto Sans CJK KR"/>
      <w:color w:val="173C4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20"/>
    </w:pPr>
    <w:rPr>
      <w:rFonts w:asciiTheme="majorHAnsi" w:eastAsiaTheme="majorEastAsia" w:hAnsiTheme="majorHAnsi" w:cstheme="majorBidi" w:ascii="Noto Sans" w:hAnsi="Noto Sans" w:eastAsia="Noto Sans CJK KR"/>
      <w:i/>
      <w:iCs/>
      <w:color w:val="53636B"/>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international.ucla.edu/buddhist/article/127562" TargetMode="External"/><Relationship Id="rId12" Type="http://schemas.openxmlformats.org/officeDocument/2006/relationships/hyperlink" Target="https://www.international.ucla.edu/buddhist/article/127564" TargetMode="External"/><Relationship Id="rId13" Type="http://schemas.openxmlformats.org/officeDocument/2006/relationships/hyperlink" Target="https://github.com/cbeta-org/xml-p5" TargetMode="External"/><Relationship Id="rId14" Type="http://schemas.openxmlformats.org/officeDocument/2006/relationships/hyperlink" Target="https://buddhism.lib.ntu.edu.tw/FULLTEXT/sutra/chi_pdf/sutra18/T44n1844.pdf" TargetMode="External"/><Relationship Id="rId15" Type="http://schemas.openxmlformats.org/officeDocument/2006/relationships/hyperlink" Target="https://buddhism.lib.ntu.edu.tw/FULLTEXT/sutra/chi_pdf/sutra18/T44n1845.pdf" TargetMode="External"/><Relationship Id="rId16" Type="http://schemas.openxmlformats.org/officeDocument/2006/relationships/hyperlink" Target="https://github.com/cbeta-org/xml-p5/blob/master/T/T34/T34n1730.xml" TargetMode="External"/><Relationship Id="rId17" Type="http://schemas.openxmlformats.org/officeDocument/2006/relationships/hyperlink" Target="https://github.com/cbeta-org/xml-p5/blob/master/T/T34/T34n1725.xml" TargetMode="External"/><Relationship Id="rId18" Type="http://schemas.openxmlformats.org/officeDocument/2006/relationships/hyperlink" Target="https://github.com/cbeta-org/xml-p5/blob/master/T/T37/T37n1747.xml" TargetMode="External"/><Relationship Id="rId19" Type="http://schemas.openxmlformats.org/officeDocument/2006/relationships/hyperlink" Target="https://github.com/cbeta-org/xml-p5/blob/master/T/T45/T45n1907.xml" TargetMode="External"/><Relationship Id="rId20" Type="http://schemas.openxmlformats.org/officeDocument/2006/relationships/hyperlink" Target="https://uhpress.hawaii.edu/title/wonhyos-philosophy-of-mind/" TargetMode="External"/><Relationship Id="rId21" Type="http://schemas.openxmlformats.org/officeDocument/2006/relationships/hyperlink" Target="https://raw.githubusercontent.com/cbeta-org/xml-p5/refs/heads/master/T/T38/T38n1773.xml" TargetMode="External"/><Relationship Id="rId22" Type="http://schemas.openxmlformats.org/officeDocument/2006/relationships/hyperlink" Target="https://raw.githubusercontent.com/cbeta-org/xml-p5/refs/heads/master/T/T45/T45n1908.xml" TargetMode="External"/><Relationship Id="rId23" Type="http://schemas.openxmlformats.org/officeDocument/2006/relationships/hyperlink" Target="https://www.international.ucla.edu/buddhist/article/127552" TargetMode="External"/><Relationship Id="rId24" Type="http://schemas.openxmlformats.org/officeDocument/2006/relationships/hyperlink" Target="https://www.international.ucla.edu/buddhist/article/127556" TargetMode="External"/><Relationship Id="rId25" Type="http://schemas.openxmlformats.org/officeDocument/2006/relationships/hyperlink" Target="https://www.international.ucla.edu/buddhist/article/127560" TargetMode="External"/><Relationship Id="rId26" Type="http://schemas.openxmlformats.org/officeDocument/2006/relationships/hyperlink" Target="https://www.international.ucla.edu/buddhist/article/127568" TargetMode="External"/><Relationship Id="rId27" Type="http://schemas.openxmlformats.org/officeDocument/2006/relationships/hyperlink" Target="https://github.com/cbeta-org/xml-p5/blob/master/X/X08/X08n0237.xml" TargetMode="External"/><Relationship Id="rId28" Type="http://schemas.openxmlformats.org/officeDocument/2006/relationships/hyperlink" Target="https://github.com/cbeta-org/xml-p5/blob/master/X/X21/X21n0369.xml" TargetMode="External"/><Relationship Id="rId29" Type="http://schemas.openxmlformats.org/officeDocument/2006/relationships/hyperlink" Target="https://github.com/cbeta-org/xml-p5/blob/master/T/T46/T46n1931.xml" TargetMode="External"/><Relationship Id="rId30" Type="http://schemas.openxmlformats.org/officeDocument/2006/relationships/hyperlink" Target="https://dlbs.liberal.ntu.edu.tw/FULLTEXT/sutra/X/X50n0818.pdf" TargetMode="External"/><Relationship Id="rId31" Type="http://schemas.openxmlformats.org/officeDocument/2006/relationships/hyperlink" Target="https://www.international.ucla.edu/buddhist/article/127546" TargetMode="External"/><Relationship Id="rId32" Type="http://schemas.openxmlformats.org/officeDocument/2006/relationships/hyperlink" Target="https://www.international.ucla.edu/buddhist/article/127565" TargetMode="External"/><Relationship Id="rId33" Type="http://schemas.openxmlformats.org/officeDocument/2006/relationships/hyperlink" Target="https://www.international.ucla.edu/buddhist/article/127723" TargetMode="External"/><Relationship Id="rId34" Type="http://schemas.openxmlformats.org/officeDocument/2006/relationships/hyperlink" Target="https://www.international.ucla.edu/buddhist/article/127570" TargetMode="External"/><Relationship Id="rId35" Type="http://schemas.openxmlformats.org/officeDocument/2006/relationships/hyperlink" Target="https://uhpress.hawaii.edu/title/numinous-awareness-is-never-dark-the-korean-buddhist-master-chinuls-excerpts-on-zen-practice/" TargetMode="External"/><Relationship Id="rId36" Type="http://schemas.openxmlformats.org/officeDocument/2006/relationships/hyperlink" Target="https://github.com/cbeta-org/xml-p5/blob/master/X/X58/X58n1015.xml" TargetMode="External"/><Relationship Id="rId37" Type="http://schemas.openxmlformats.org/officeDocument/2006/relationships/hyperlink" Target="https://www.hiks.or.kr/Translations/3/read/100" TargetMode="External"/><Relationship Id="rId38" Type="http://schemas.openxmlformats.org/officeDocument/2006/relationships/hyperlink" Target="https://jsg.aks.ac.kr/dir/view?dataId=LIB_166991" TargetMode="External"/><Relationship Id="rId39" Type="http://schemas.openxmlformats.org/officeDocument/2006/relationships/hyperlink" Target="https://contents.history.go.kr/front/hm/view.do?levelId=hm_069_0050" TargetMode="External"/><Relationship Id="rId40" Type="http://schemas.openxmlformats.org/officeDocument/2006/relationships/hyperlink" Target="https://db.history.go.kr/goryeo/level.do?itemId=musb" TargetMode="External"/><Relationship Id="rId41" Type="http://schemas.openxmlformats.org/officeDocument/2006/relationships/hyperlink" Target="https://contents.history.go.kr/front/hm/view.do?levelId=hm_094_0010" TargetMode="External"/><Relationship Id="rId42" Type="http://schemas.openxmlformats.org/officeDocument/2006/relationships/hyperlink" Target="https://db.mkstudy.com/opendatabase/itkc/chonggan/book/nrLj/" TargetMode="External"/><Relationship Id="rId43" Type="http://schemas.openxmlformats.org/officeDocument/2006/relationships/hyperlink" Target="https://db.history.go.kr/goryeo/level.do?itemId=mume" TargetMode="External"/><Relationship Id="rId44" Type="http://schemas.openxmlformats.org/officeDocument/2006/relationships/hyperlink" Target="https://www.bdkamerica.org/product/the-awakening-of-faith/" TargetMode="External"/><Relationship Id="rId45" Type="http://schemas.openxmlformats.org/officeDocument/2006/relationships/hyperlink" Target="https://www.bdkamerica.org/product/the-brahmas-net-sutra/" TargetMode="External"/><Relationship Id="rId46" Type="http://schemas.openxmlformats.org/officeDocument/2006/relationships/hyperlink" Target="https://www.bdkamerica.org/product/the-scripture-on-the-explication-of-underlying-meaning/" TargetMode="External"/><Relationship Id="rId47" Type="http://schemas.openxmlformats.org/officeDocument/2006/relationships/hyperlink" Target="https://www.bdkamerica.org/product/the-three-pure-land-sutras/" TargetMode="External"/><Relationship Id="rId48" Type="http://schemas.openxmlformats.org/officeDocument/2006/relationships/hyperlink" Target="https://www.bdkamerica.org/product/the-lotus-sutra-revised-second-edition/" TargetMode="External"/><Relationship Id="rId49" Type="http://schemas.openxmlformats.org/officeDocument/2006/relationships/hyperlink" Target="https://www.gutenberg.org/ebooks/4094" TargetMode="External"/><Relationship Id="rId50" Type="http://schemas.openxmlformats.org/officeDocument/2006/relationships/hyperlink" Target="https://raw.githubusercontent.com/cbeta-org/xml-p5/refs/heads/master/T/T09/T09n0273.xml" TargetMode="External"/><Relationship Id="rId51" Type="http://schemas.openxmlformats.org/officeDocument/2006/relationships/hyperlink" Target="https://archive.org/details/fourbooksconfuci00leggiala" TargetMode="External"/><Relationship Id="rId52" Type="http://schemas.openxmlformats.org/officeDocument/2006/relationships/hyperlink" Target="https://catalog.hathitrust.org/Record/007659679" TargetMode="External"/><Relationship Id="rId53" Type="http://schemas.openxmlformats.org/officeDocument/2006/relationships/hyperlink" Target="https://www.bdkamerica.org/product/the-platform-sutra-of-the-sixth-patriarch/" TargetMode="External"/><Relationship Id="rId54" Type="http://schemas.openxmlformats.org/officeDocument/2006/relationships/hyperlink" Target="https://github.com/cbeta-org/xml-p5/blob/master/T/T48/T48n2015.xml" TargetMode="External"/><Relationship Id="rId55" Type="http://schemas.openxmlformats.org/officeDocument/2006/relationships/hyperlink" Target="https://raw.githubusercontent.com/cbeta-org/xml-p5/refs/heads/master/T/T47/T47n1998A.xml" TargetMode="External"/><Relationship Id="rId56" Type="http://schemas.openxmlformats.org/officeDocument/2006/relationships/hyperlink" Target="https://raw.githubusercontent.com/cbeta-org/xml-p5/refs/heads/master/T/T44/T44n1846.xml" TargetMode="External"/><Relationship Id="rId57" Type="http://schemas.openxmlformats.org/officeDocument/2006/relationships/hyperlink" Target="https://www.international.ucla.edu/buddhist/article/127549" TargetMode="External"/><Relationship Id="rId58" Type="http://schemas.openxmlformats.org/officeDocument/2006/relationships/hyperlink" Target="https://faculty.washington.edu/mkalton/10dia%20contents%20web.htm" TargetMode="External"/><Relationship Id="rId59" Type="http://schemas.openxmlformats.org/officeDocument/2006/relationships/hyperlink" Target="https://faculty.washington.edu/mkalton/10dia%20ch4%20web.htm" TargetMode="External"/><Relationship Id="rId60" Type="http://schemas.openxmlformats.org/officeDocument/2006/relationships/hyperlink" Target="https://buddhism.lib.ntu.edu.tw/FULLTEXT/sutra/chi_pdf/sutra23/T55n2184.pdf" TargetMode="External"/><Relationship Id="rId61" Type="http://schemas.openxmlformats.org/officeDocument/2006/relationships/hyperlink" Target="https://db.history.go.kr/id/sy_004r_0010_0070_0010" TargetMode="External"/><Relationship Id="rId62" Type="http://schemas.openxmlformats.org/officeDocument/2006/relationships/hyperlink" Target="https://db.history.go.kr/ancient/level.do?levelId=hg_001_0020_0090" TargetMode="External"/><Relationship Id="rId63" Type="http://schemas.openxmlformats.org/officeDocument/2006/relationships/hyperlink" Target="https://heritage.bnf.fr/france-chine/hyecho-vers-700-780" TargetMode="External"/><Relationship Id="rId64" Type="http://schemas.openxmlformats.org/officeDocument/2006/relationships/hyperlink" Target="https://www.international.ucla.edu/buddhist/article/127536" TargetMode="External"/><Relationship Id="rId65" Type="http://schemas.openxmlformats.org/officeDocument/2006/relationships/hyperlink" Target="https://github.com/cbeta-org/xml-p5/blob/master/T/T44/T44n1844.xml" TargetMode="External"/><Relationship Id="rId66" Type="http://schemas.openxmlformats.org/officeDocument/2006/relationships/hyperlink" Target="https://uhpress.hawaii.edu/title/cultivating-original-enlightenment-wonhyos-exposition-of-the-vajrasamadhi-sutra-kumgang-sammaegyong-non/" TargetMode="External"/><Relationship Id="rId67" Type="http://schemas.openxmlformats.org/officeDocument/2006/relationships/hyperlink" Target="https://www.orientalstudies.ru/rus/index.php?Itemid=75&amp;option=com_publications&amp;pub=1694" TargetMode="External"/><Relationship Id="rId68" Type="http://schemas.openxmlformats.org/officeDocument/2006/relationships/hyperlink" Target="https://buddhism.lib.ntu.edu.tw/FULLTEXT/sutra/chi_pdf/sutra19/T45n1887A.pdf" TargetMode="External"/><Relationship Id="rId69" Type="http://schemas.openxmlformats.org/officeDocument/2006/relationships/hyperlink" Target="https://uhpress.hawaii.edu/title/doctrine-and-practice-in-medieval-korean-buddhism-the-collected-works-of-uichon/" TargetMode="External"/><Relationship Id="rId70" Type="http://schemas.openxmlformats.org/officeDocument/2006/relationships/hyperlink" Target="https://academic.oup.com/hawaii-scholarship-online/book/24202" TargetMode="External"/><Relationship Id="rId71" Type="http://schemas.openxmlformats.org/officeDocument/2006/relationships/hyperlink" Target="https://dlbs.liberal.ntu.edu.tw/FULLTEXT/sutra/chi_pdf/sutra19/T48n2020.pdf" TargetMode="External"/><Relationship Id="rId72" Type="http://schemas.openxmlformats.org/officeDocument/2006/relationships/hyperlink" Target="https://www.degruyterbrill.com/document/doi/10.1515/9780824895433/html" TargetMode="External"/><Relationship Id="rId73" Type="http://schemas.openxmlformats.org/officeDocument/2006/relationships/hyperlink" Target="https://www.orientalstudies.ru/rus/index.php?Itemid=75&amp;option=com_publications&amp;pub=2042" TargetMode="External"/><Relationship Id="rId74" Type="http://schemas.openxmlformats.org/officeDocument/2006/relationships/hyperlink" Target="https://uhpress.hawaii.edu/title/koreas-great-buddhist-confucian-debate-the-treatises-of-chong-tojon-sambong-and-hamho-tuktong-kihwa/" TargetMode="External"/><Relationship Id="rId75" Type="http://schemas.openxmlformats.org/officeDocument/2006/relationships/hyperlink" Target="https://academic.oup.com/hawaii-scholarship-online/book/24219" TargetMode="External"/><Relationship Id="rId76" Type="http://schemas.openxmlformats.org/officeDocument/2006/relationships/hyperlink" Target="https://uhpress.hawaii.edu/title/seeking-order-in-a-tumultuous-age-the-writings-of-chong-tojon-a-korean-neo-confucian/" TargetMode="External"/><Relationship Id="rId77" Type="http://schemas.openxmlformats.org/officeDocument/2006/relationships/hyperlink" Target="https://academic.oup.com/hawaii-scholarship-online/book/30344" TargetMode="External"/><Relationship Id="rId78" Type="http://schemas.openxmlformats.org/officeDocument/2006/relationships/hyperlink" Target="https://faculty.washington.edu/mkalton/chinese.htm" TargetMode="External"/><Relationship Id="rId79" Type="http://schemas.openxmlformats.org/officeDocument/2006/relationships/hyperlink" Target="https://www.bdkamerica.org/product/three-texts-on-consciousness-only/" TargetMode="External"/><Relationship Id="rId80" Type="http://schemas.openxmlformats.org/officeDocument/2006/relationships/hyperlink" Target="https://archive.org/details/avaghoshasdisc00asva" TargetMode="External"/><Relationship Id="rId81" Type="http://schemas.openxmlformats.org/officeDocument/2006/relationships/hyperlink" Target="https://www.bnf.fr/en/jikji-treasure-world-printing" TargetMode="External"/><Relationship Id="rId82" Type="http://schemas.openxmlformats.org/officeDocument/2006/relationships/hyperlink" Target="https://www.unesco.org/en/memory-world/printing-woodblocks-tripitaka-koreana-and-miscellaneous-buddhist-scriptures" TargetMode="External"/><Relationship Id="rId83" Type="http://schemas.openxmlformats.org/officeDocument/2006/relationships/hyperlink" Target="https://www.unesco.org/en/memory-world/hunminjeongum-manuscript" TargetMode="External"/><Relationship Id="rId84" Type="http://schemas.openxmlformats.org/officeDocument/2006/relationships/hyperlink" Target="https://www.orientalstudies.ru/rus/index.php?Itemid=75&amp;option=com_publications&amp;pub=4917" TargetMode="External"/><Relationship Id="rId85" Type="http://schemas.openxmlformats.org/officeDocument/2006/relationships/hyperlink" Target="https://www.orientalstudies.ru/rus/index.php?Itemid=75&amp;option=com_publications&amp;pub=1196" TargetMode="External"/><Relationship Id="rId86" Type="http://schemas.openxmlformats.org/officeDocument/2006/relationships/hyperlink" Target="https://www.international.ucla.edu/buddhist/article/127396" TargetMode="External"/><Relationship Id="rId87" Type="http://schemas.openxmlformats.org/officeDocument/2006/relationships/hyperlink" Target="https://cbeta.org/copyright" TargetMode="External"/><Relationship Id="rId88" Type="http://schemas.openxmlformats.org/officeDocument/2006/relationships/hyperlink" Target="https://faculty.washington.edu/mkalton/" TargetMode="External"/><Relationship Id="rId89" Type="http://schemas.openxmlformats.org/officeDocument/2006/relationships/hyperlink" Target="https://dlbs.liberal.ntu.edu.tw/copyright2E.htm" TargetMode="External"/><Relationship Id="rId90" Type="http://schemas.openxmlformats.org/officeDocument/2006/relationships/hyperlink" Target="https://encykorea.aks.ac.kr/Article/E004782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ToS Corpus &amp; Rights Registry — T2-47</dc:title>
  <dc:subject>Корея: буддийская и конфуцианская письменная философия до 1500</dc:subject>
  <dc:creator>Tree of Sophia</dc:creator>
  <cp:keywords/>
  <dc:description>generated by python-docx</dc:description>
  <cp:lastModifiedBy/>
  <cp:revision>1</cp:revision>
  <dcterms:created xsi:type="dcterms:W3CDTF">2013-12-23T23:15:00Z</dcterms:created>
  <dcterms:modified xsi:type="dcterms:W3CDTF">2013-12-23T23:15:00Z</dcterms:modified>
  <cp:category/>
</cp:coreProperties>
</file>