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ИССЛЕДОВАТЕЛЬСКИЙ ПАКЕТ  •  v4.3.1</w:t>
      </w:r>
    </w:p>
    <w:p>
      <w:pPr>
        <w:pStyle w:val="Title"/>
      </w:pPr>
      <w:r>
        <w:t>ToS Corpus &amp; Rights Registry</w:t>
      </w:r>
    </w:p>
    <w:p>
      <w:r>
        <w:rPr>
          <w:b/>
        </w:rPr>
        <w:t>T2-50</w:t>
      </w:r>
      <w:r>
        <w:t xml:space="preserve"> — Центральноазиатские и древнетюркские текстовые миры</w:t>
      </w:r>
    </w:p>
    <w:p>
      <w:pPr>
        <w:pStyle w:val="Subtitle"/>
      </w:pPr>
      <w:r>
        <w:t>80 путей доступа  /  41 пробел  /  пять языковых ветвей</w:t>
      </w:r>
    </w:p>
    <w:p>
      <w:pPr>
        <w:pStyle w:val="Heading1"/>
        <w:pageBreakBefore w:val="0"/>
      </w:pPr>
      <w:r>
        <w:t>1. Паспорт</w:t>
      </w:r>
    </w:p>
    <w:tbl>
      <w:tblPr>
        <w:tblW w:type="auto" w:w="0"/>
        <w:jc w:val="center"/>
        <w:tblLayout w:type="fixed"/>
        <w:tblLook w:firstColumn="1" w:firstRow="1" w:lastColumn="0" w:lastRow="0" w:noHBand="0" w:noVBand="1" w:val="04A0"/>
      </w:tblPr>
      <w:tblGrid>
        <w:gridCol w:w="1984"/>
        <w:gridCol w:w="7540"/>
      </w:tblGrid>
      <w:tr>
        <w:trPr>
          <w:cantSplit/>
          <w:tblHeader/>
        </w:trPr>
        <w:tc>
          <w:tcPr>
            <w:tcW w:type="dxa" w:w="1984"/>
            <w:vAlign w:val="top"/>
            <w:shd w:fill="183D50"/>
          </w:tcPr>
          <w:p>
            <w:pPr>
              <w:spacing w:after="80" w:before="60" w:line="254" w:lineRule="auto"/>
            </w:pPr>
            <w:r>
              <w:rPr>
                <w:b/>
                <w:color w:val="FFFFFF"/>
                <w:sz w:val="20"/>
              </w:rPr>
              <w:t>Поле</w:t>
            </w:r>
          </w:p>
        </w:tc>
        <w:tc>
          <w:tcPr>
            <w:tcW w:type="dxa" w:w="7540"/>
            <w:vAlign w:val="top"/>
            <w:shd w:fill="183D50"/>
          </w:tcPr>
          <w:p>
            <w:pPr>
              <w:spacing w:after="80" w:before="60" w:line="254" w:lineRule="auto"/>
            </w:pPr>
            <w:r>
              <w:rPr>
                <w:b/>
                <w:color w:val="FFFFFF"/>
                <w:sz w:val="20"/>
              </w:rPr>
              <w:t>Значение</w:t>
            </w:r>
          </w:p>
        </w:tc>
      </w:tr>
      <w:tr>
        <w:trPr>
          <w:cantSplit/>
        </w:trPr>
        <w:tc>
          <w:tcPr>
            <w:tcW w:type="dxa" w:w="1984"/>
            <w:vAlign w:val="top"/>
            <w:shd w:fill="F1F5F7"/>
          </w:tcPr>
          <w:p>
            <w:pPr>
              <w:spacing w:after="80" w:before="60" w:line="254" w:lineRule="auto"/>
            </w:pPr>
            <w:r>
              <w:rPr>
                <w:sz w:val="20"/>
              </w:rPr>
              <w:t>Строка / статус</w:t>
            </w:r>
          </w:p>
        </w:tc>
        <w:tc>
          <w:tcPr>
            <w:tcW w:type="dxa" w:w="7540"/>
            <w:vAlign w:val="top"/>
            <w:shd w:fill="F1F5F7"/>
          </w:tcPr>
          <w:p>
            <w:pPr>
              <w:spacing w:after="80" w:before="60" w:line="254" w:lineRule="auto"/>
            </w:pPr>
            <w:r>
              <w:rPr>
                <w:sz w:val="20"/>
              </w:rPr>
              <w:t>T2-50; B, исходная уверенность 3/5. Статус и исторические границы не изменены.</w:t>
            </w:r>
          </w:p>
        </w:tc>
      </w:tr>
      <w:tr>
        <w:trPr>
          <w:cantSplit/>
        </w:trPr>
        <w:tc>
          <w:tcPr>
            <w:tcW w:type="dxa" w:w="1984"/>
            <w:vAlign w:val="top"/>
            <w:shd w:fill="FFFFFF"/>
          </w:tcPr>
          <w:p>
            <w:pPr>
              <w:spacing w:after="80" w:before="60" w:line="254" w:lineRule="auto"/>
            </w:pPr>
            <w:r>
              <w:rPr>
                <w:sz w:val="20"/>
              </w:rPr>
              <w:t>Хронология мастер-строки</w:t>
            </w:r>
          </w:p>
        </w:tc>
        <w:tc>
          <w:tcPr>
            <w:tcW w:type="dxa" w:w="7540"/>
            <w:vAlign w:val="top"/>
            <w:shd w:fill="FFFFFF"/>
          </w:tcPr>
          <w:p>
            <w:pPr>
              <w:spacing w:after="80" w:before="60" w:line="254" w:lineRule="auto"/>
            </w:pPr>
            <w:r>
              <w:rPr>
                <w:sz w:val="20"/>
              </w:rPr>
              <w:t>Формирование: VI–XIV вв.; фиксация и передача: VII–XV вв.; канонизация / комментарий: VIII–XV вв.</w:t>
            </w:r>
          </w:p>
        </w:tc>
      </w:tr>
      <w:tr>
        <w:trPr>
          <w:cantSplit/>
        </w:trPr>
        <w:tc>
          <w:tcPr>
            <w:tcW w:type="dxa" w:w="1984"/>
            <w:vAlign w:val="top"/>
            <w:shd w:fill="F1F5F7"/>
          </w:tcPr>
          <w:p>
            <w:pPr>
              <w:spacing w:after="80" w:before="60" w:line="254" w:lineRule="auto"/>
            </w:pPr>
            <w:r>
              <w:rPr>
                <w:sz w:val="20"/>
              </w:rPr>
              <w:t>Исходный документ</w:t>
            </w:r>
          </w:p>
        </w:tc>
        <w:tc>
          <w:tcPr>
            <w:tcW w:type="dxa" w:w="7540"/>
            <w:vAlign w:val="top"/>
            <w:shd w:fill="F1F5F7"/>
          </w:tcPr>
          <w:p>
            <w:pPr>
              <w:spacing w:after="80" w:before="60" w:line="254" w:lineRule="auto"/>
            </w:pPr>
            <w:r>
              <w:rPr>
                <w:sz w:val="20"/>
              </w:rPr>
              <w:t>ToS Deep Research_ T2-50 — Центральноазиатские и древнетюркские текстовые миры(1).docx</w:t>
            </w:r>
          </w:p>
        </w:tc>
      </w:tr>
      <w:tr>
        <w:trPr>
          <w:cantSplit/>
        </w:trPr>
        <w:tc>
          <w:tcPr>
            <w:tcW w:type="dxa" w:w="1984"/>
            <w:vAlign w:val="top"/>
            <w:shd w:fill="FFFFFF"/>
          </w:tcPr>
          <w:p>
            <w:pPr>
              <w:spacing w:after="80" w:before="60" w:line="254" w:lineRule="auto"/>
            </w:pPr>
            <w:r>
              <w:rPr>
                <w:sz w:val="20"/>
              </w:rPr>
              <w:t>Дата проверки</w:t>
            </w:r>
          </w:p>
        </w:tc>
        <w:tc>
          <w:tcPr>
            <w:tcW w:type="dxa" w:w="7540"/>
            <w:vAlign w:val="top"/>
            <w:shd w:fill="FFFFFF"/>
          </w:tcPr>
          <w:p>
            <w:pPr>
              <w:spacing w:after="80" w:before="60" w:line="254" w:lineRule="auto"/>
            </w:pPr>
            <w:r>
              <w:rPr>
                <w:sz w:val="20"/>
              </w:rPr>
              <w:t>5 сентября 2026 года. Это срез проверки ссылок и условий, не дата всех цифровых изданий.</w:t>
            </w:r>
          </w:p>
        </w:tc>
      </w:tr>
      <w:tr>
        <w:trPr>
          <w:cantSplit/>
        </w:trPr>
        <w:tc>
          <w:tcPr>
            <w:tcW w:type="dxa" w:w="1984"/>
            <w:vAlign w:val="top"/>
            <w:shd w:fill="F1F5F7"/>
          </w:tcPr>
          <w:p>
            <w:pPr>
              <w:spacing w:after="80" w:before="60" w:line="254" w:lineRule="auto"/>
            </w:pPr>
            <w:r>
              <w:rPr>
                <w:sz w:val="20"/>
              </w:rPr>
              <w:t>Файлы пакета</w:t>
            </w:r>
          </w:p>
        </w:tc>
        <w:tc>
          <w:tcPr>
            <w:tcW w:type="dxa" w:w="7540"/>
            <w:vAlign w:val="top"/>
            <w:shd w:fill="F1F5F7"/>
          </w:tcPr>
          <w:p>
            <w:pPr>
              <w:spacing w:after="80" w:before="60" w:line="254" w:lineRule="auto"/>
            </w:pPr>
            <w:r>
              <w:rPr>
                <w:sz w:val="20"/>
              </w:rPr>
              <w:t>ToS_Corpus_Rights_T2-50_registry.xlsx — registry и gaps; настоящий DOCX — объяснение охвата и использования.</w:t>
            </w:r>
          </w:p>
        </w:tc>
      </w:tr>
    </w:tbl>
    <w:p>
      <w:pPr>
        <w:spacing w:after="40"/>
      </w:pPr>
    </w:p>
    <w:p>
      <w:r>
        <w:t>Ядро взято из исходного DR: согдийская буддийская и документальная письменность; бактрийские архивы и эпиграфические предшественники; тохарские буддийские рукописи; орхонские мемориальные надписи; староуйгурские сутры, повествования, комментарии, колофоны и деловые документы. Христианско-согдийская ветвь сохранена ограниченно. Манихейский материал не развёрнут в самостоятельный канон: Карабалгасун остаётся общим пограничным объектом с T2-51.</w:t>
      </w:r>
    </w:p>
    <w:p>
      <w:r>
        <w:t>Поиск выполнялся на русском, английском, немецком, французском и турецком, по китайским заглавиям и номерам Taishō, а также по латинским транслитерациям согдийских, тохарских, санскритских и староуйгурских названий. Использовались фамилии редакторов, номера Berliner Turfantexte, шифры Pelliot / Or.8212 / IOL Toch / U / SI / THT и устойчивые библиотечные идентификаторы.</w:t>
      </w:r>
    </w:p>
    <w:p>
      <w:r>
        <w:t>Искались произведения и корпусные семьи, конкретные издания и переводы, рукописные свидетели, фотографии надписей, цифровые транскрипции и машиночитаемые пакеты. Графы, YAML и исследовательские задания внутри DR не выполнялись.</w:t>
      </w:r>
    </w:p>
    <w:p>
      <w:pPr>
        <w:pStyle w:val="Caption"/>
      </w:pPr>
      <w:r>
        <w:t>Ссылки [Rxxx] ведут к соответствующим источникам основного реестра. Обозначения Gxxx отсылают к листу gaps. Исторические подсказки DR и результаты новой проверки разделены ниже; непроверенный доступ не выдан за отсутствие произведения.</w:t>
      </w:r>
    </w:p>
    <w:p>
      <w:pPr>
        <w:pStyle w:val="Heading1"/>
        <w:pageBreakBefore/>
      </w:pPr>
      <w:r>
        <w:t>2. Охват корпуса</w:t>
      </w:r>
    </w:p>
    <w:p>
      <w:pPr>
        <w:pStyle w:val="Heading2"/>
      </w:pPr>
      <w:r>
        <w:t>Что перенесено из DR и что действительно найдено</w:t>
      </w:r>
    </w:p>
    <w:p>
      <w:r>
        <w:t>Каждая из пяти основных ветвей получила предметные входы. Все центральные якоря DR представлены либо в registry, либо явным пробелом. Это не означает, что каждый названный памятник имеет проверенный полный текст: для ряда сочинений установлен только издательский или каталожный путь, а для некоторых рукописей — лишь библиографическая идентификация.</w:t>
      </w:r>
    </w:p>
    <w:tbl>
      <w:tblPr>
        <w:tblW w:type="auto" w:w="0"/>
        <w:jc w:val="center"/>
        <w:tblLayout w:type="fixed"/>
        <w:tblLook w:firstColumn="1" w:firstRow="1" w:lastColumn="0" w:lastRow="0" w:noHBand="0" w:noVBand="1" w:val="04A0"/>
      </w:tblPr>
      <w:tblGrid>
        <w:gridCol w:w="1701"/>
        <w:gridCol w:w="4762"/>
        <w:gridCol w:w="3061"/>
      </w:tblGrid>
      <w:tr>
        <w:trPr>
          <w:cantSplit/>
          <w:tblHeader/>
        </w:trPr>
        <w:tc>
          <w:tcPr>
            <w:tcW w:type="dxa" w:w="1701"/>
            <w:vAlign w:val="top"/>
            <w:shd w:fill="183D50"/>
          </w:tcPr>
          <w:p>
            <w:pPr>
              <w:spacing w:after="80" w:before="60" w:line="254" w:lineRule="auto"/>
            </w:pPr>
            <w:r>
              <w:rPr>
                <w:b/>
                <w:color w:val="FFFFFF"/>
                <w:sz w:val="20"/>
              </w:rPr>
              <w:t>Ветвь</w:t>
            </w:r>
          </w:p>
        </w:tc>
        <w:tc>
          <w:tcPr>
            <w:tcW w:type="dxa" w:w="4762"/>
            <w:vAlign w:val="top"/>
            <w:shd w:fill="183D50"/>
          </w:tcPr>
          <w:p>
            <w:pPr>
              <w:spacing w:after="80" w:before="60" w:line="254" w:lineRule="auto"/>
            </w:pPr>
            <w:r>
              <w:rPr>
                <w:b/>
                <w:color w:val="FFFFFF"/>
                <w:sz w:val="20"/>
              </w:rPr>
              <w:t>Предметное покрытие</w:t>
            </w:r>
          </w:p>
        </w:tc>
        <w:tc>
          <w:tcPr>
            <w:tcW w:type="dxa" w:w="3061"/>
            <w:vAlign w:val="top"/>
            <w:shd w:fill="183D50"/>
          </w:tcPr>
          <w:p>
            <w:pPr>
              <w:spacing w:after="80" w:before="60" w:line="254" w:lineRule="auto"/>
            </w:pPr>
            <w:r>
              <w:rPr>
                <w:b/>
                <w:color w:val="FFFFFF"/>
                <w:sz w:val="20"/>
              </w:rPr>
              <w:t>Главный оставшийся разрыв</w:t>
            </w:r>
          </w:p>
        </w:tc>
      </w:tr>
      <w:tr>
        <w:trPr>
          <w:cantSplit/>
        </w:trPr>
        <w:tc>
          <w:tcPr>
            <w:tcW w:type="dxa" w:w="1701"/>
            <w:vAlign w:val="top"/>
            <w:shd w:fill="F1F5F7"/>
          </w:tcPr>
          <w:p>
            <w:pPr>
              <w:spacing w:after="80" w:before="60" w:line="254" w:lineRule="auto"/>
            </w:pPr>
            <w:r>
              <w:rPr>
                <w:sz w:val="20"/>
              </w:rPr>
              <w:t>Согдийская</w:t>
            </w:r>
          </w:p>
        </w:tc>
        <w:tc>
          <w:tcPr>
            <w:tcW w:type="dxa" w:w="4762"/>
            <w:vAlign w:val="top"/>
            <w:shd w:fill="F1F5F7"/>
          </w:tcPr>
          <w:p>
            <w:pPr>
              <w:spacing w:after="80" w:before="60" w:line="254" w:lineRule="auto"/>
            </w:pPr>
            <w:r>
              <w:rPr>
                <w:sz w:val="20"/>
              </w:rPr>
              <w:t>Муг; Древние письма; Vessantara; Dhūta; буддийские сборники; Dīrghanakhaparipṛcchā; эпиграфика; медицинский Toyoq.</w:t>
            </w:r>
          </w:p>
        </w:tc>
        <w:tc>
          <w:tcPr>
            <w:tcW w:type="dxa" w:w="3061"/>
            <w:vAlign w:val="top"/>
            <w:shd w:fill="F1F5F7"/>
          </w:tcPr>
          <w:p>
            <w:pPr>
              <w:spacing w:after="80" w:before="60" w:line="254" w:lineRule="auto"/>
            </w:pPr>
            <w:r>
              <w:rPr>
                <w:sz w:val="20"/>
              </w:rPr>
              <w:t>Оригиналы ряда сутр, Dhyāna Or.8212/85, item-level факсимиле и русские переводы.</w:t>
            </w:r>
          </w:p>
        </w:tc>
      </w:tr>
      <w:tr>
        <w:trPr>
          <w:cantSplit/>
        </w:trPr>
        <w:tc>
          <w:tcPr>
            <w:tcW w:type="dxa" w:w="1701"/>
            <w:vAlign w:val="top"/>
            <w:shd w:fill="FFFFFF"/>
          </w:tcPr>
          <w:p>
            <w:pPr>
              <w:spacing w:after="80" w:before="60" w:line="254" w:lineRule="auto"/>
            </w:pPr>
            <w:r>
              <w:rPr>
                <w:sz w:val="20"/>
              </w:rPr>
              <w:t>Бактрийская</w:t>
            </w:r>
          </w:p>
        </w:tc>
        <w:tc>
          <w:tcPr>
            <w:tcW w:type="dxa" w:w="4762"/>
            <w:vAlign w:val="top"/>
            <w:shd w:fill="FFFFFF"/>
          </w:tcPr>
          <w:p>
            <w:pPr>
              <w:spacing w:after="80" w:before="60" w:line="254" w:lineRule="auto"/>
            </w:pPr>
            <w:r>
              <w:rPr>
                <w:sz w:val="20"/>
              </w:rPr>
              <w:t>Документы I–IV; два документа al-Sabah; аренда DOC 5; Рабатак и Сурх-Котал; арабский комплементарный архив.</w:t>
            </w:r>
          </w:p>
        </w:tc>
        <w:tc>
          <w:tcPr>
            <w:tcW w:type="dxa" w:w="3061"/>
            <w:vAlign w:val="top"/>
            <w:shd w:fill="FFFFFF"/>
          </w:tcPr>
          <w:p>
            <w:pPr>
              <w:spacing w:after="80" w:before="60" w:line="254" w:lineRule="auto"/>
            </w:pPr>
            <w:r>
              <w:rPr>
                <w:sz w:val="20"/>
              </w:rPr>
              <w:t>Полные современные тома, точные права на фотографии и критические издания надписей.</w:t>
            </w:r>
          </w:p>
        </w:tc>
      </w:tr>
      <w:tr>
        <w:trPr>
          <w:cantSplit/>
        </w:trPr>
        <w:tc>
          <w:tcPr>
            <w:tcW w:type="dxa" w:w="1701"/>
            <w:vAlign w:val="top"/>
            <w:shd w:fill="F1F5F7"/>
          </w:tcPr>
          <w:p>
            <w:pPr>
              <w:spacing w:after="80" w:before="60" w:line="254" w:lineRule="auto"/>
            </w:pPr>
            <w:r>
              <w:rPr>
                <w:sz w:val="20"/>
              </w:rPr>
              <w:t>Тохарская</w:t>
            </w:r>
          </w:p>
        </w:tc>
        <w:tc>
          <w:tcPr>
            <w:tcW w:type="dxa" w:w="4762"/>
            <w:vAlign w:val="top"/>
            <w:shd w:fill="F1F5F7"/>
          </w:tcPr>
          <w:p>
            <w:pPr>
              <w:spacing w:after="80" w:before="60" w:line="254" w:lineRule="auto"/>
            </w:pPr>
            <w:r>
              <w:rPr>
                <w:sz w:val="20"/>
              </w:rPr>
              <w:t>Историческое издание A; Maitreyasamiti; Puṇyavanta; последняя трапеза; пять фрагментов Березовского; THT 1040; IOL Toch 81; Udāna-комплекс.</w:t>
            </w:r>
          </w:p>
        </w:tc>
        <w:tc>
          <w:tcPr>
            <w:tcW w:type="dxa" w:w="3061"/>
            <w:vAlign w:val="top"/>
            <w:shd w:fill="F1F5F7"/>
          </w:tcPr>
          <w:p>
            <w:pPr>
              <w:spacing w:after="80" w:before="60" w:line="254" w:lineRule="auto"/>
            </w:pPr>
            <w:r>
              <w:rPr>
                <w:sz w:val="20"/>
              </w:rPr>
              <w:t>Полный item-level маршрут CEToM, корпус B и оригинал трёхъязычного листа.</w:t>
            </w:r>
          </w:p>
        </w:tc>
      </w:tr>
      <w:tr>
        <w:trPr>
          <w:cantSplit/>
        </w:trPr>
        <w:tc>
          <w:tcPr>
            <w:tcW w:type="dxa" w:w="1701"/>
            <w:vAlign w:val="top"/>
            <w:shd w:fill="FFFFFF"/>
          </w:tcPr>
          <w:p>
            <w:pPr>
              <w:spacing w:after="80" w:before="60" w:line="254" w:lineRule="auto"/>
            </w:pPr>
            <w:r>
              <w:rPr>
                <w:sz w:val="20"/>
              </w:rPr>
              <w:t>Древнетюркская</w:t>
            </w:r>
          </w:p>
        </w:tc>
        <w:tc>
          <w:tcPr>
            <w:tcW w:type="dxa" w:w="4762"/>
            <w:vAlign w:val="top"/>
            <w:shd w:fill="FFFFFF"/>
          </w:tcPr>
          <w:p>
            <w:pPr>
              <w:spacing w:after="80" w:before="60" w:line="254" w:lineRule="auto"/>
            </w:pPr>
            <w:r>
              <w:rPr>
                <w:sz w:val="20"/>
              </w:rPr>
              <w:t>Кюль-тегин, Бильге-каган, Тоньюкук; расширенные эпиграфические издания; Irk Bitig; Карабалгасун.</w:t>
            </w:r>
          </w:p>
        </w:tc>
        <w:tc>
          <w:tcPr>
            <w:tcW w:type="dxa" w:w="3061"/>
            <w:vAlign w:val="top"/>
            <w:shd w:fill="FFFFFF"/>
          </w:tcPr>
          <w:p>
            <w:pPr>
              <w:spacing w:after="80" w:before="60" w:line="254" w:lineRule="auto"/>
            </w:pPr>
            <w:r>
              <w:rPr>
                <w:sz w:val="20"/>
              </w:rPr>
              <w:t>Современные свободные транскрипции, китайские стороны стел, дополнительные малые надписи.</w:t>
            </w:r>
          </w:p>
        </w:tc>
      </w:tr>
      <w:tr>
        <w:trPr>
          <w:cantSplit/>
        </w:trPr>
        <w:tc>
          <w:tcPr>
            <w:tcW w:type="dxa" w:w="1701"/>
            <w:vAlign w:val="top"/>
            <w:shd w:fill="F1F5F7"/>
          </w:tcPr>
          <w:p>
            <w:pPr>
              <w:spacing w:after="80" w:before="60" w:line="254" w:lineRule="auto"/>
            </w:pPr>
            <w:r>
              <w:rPr>
                <w:sz w:val="20"/>
              </w:rPr>
              <w:t>Староуйгурская</w:t>
            </w:r>
          </w:p>
        </w:tc>
        <w:tc>
          <w:tcPr>
            <w:tcW w:type="dxa" w:w="4762"/>
            <w:vAlign w:val="top"/>
            <w:shd w:fill="F1F5F7"/>
          </w:tcPr>
          <w:p>
            <w:pPr>
              <w:spacing w:after="80" w:before="60" w:line="254" w:lineRule="auto"/>
            </w:pPr>
            <w:r>
              <w:rPr>
                <w:sz w:val="20"/>
              </w:rPr>
              <w:t>Altun Yaruk; Maitrisimit; DKP; Säkiz Yükmäk; Kšanti; Avalokiteśvara; Avataṃsaka; Prajñāpāramitā; Vimalakīrti; Сюаньцзан; документы и колофоны.</w:t>
            </w:r>
          </w:p>
        </w:tc>
        <w:tc>
          <w:tcPr>
            <w:tcW w:type="dxa" w:w="3061"/>
            <w:vAlign w:val="top"/>
            <w:shd w:fill="F1F5F7"/>
          </w:tcPr>
          <w:p>
            <w:pPr>
              <w:spacing w:after="80" w:before="60" w:line="254" w:lineRule="auto"/>
            </w:pPr>
            <w:r>
              <w:rPr>
                <w:sz w:val="20"/>
              </w:rPr>
              <w:t>Большинство критических изданий остаются платными или распроданными; полный корпус не выложен свободно.</w:t>
            </w:r>
          </w:p>
        </w:tc>
      </w:tr>
    </w:tbl>
    <w:p>
      <w:pPr>
        <w:spacing w:after="40"/>
      </w:pPr>
    </w:p>
    <w:p>
      <w:r>
        <w:t>Заметные добавления веб-поиска — китайские прототипы T0643, T2886 и T2881; конкретные рукописные фрагменты U 3285, U 7123 и THT 1040; санскритский e-text Golden Light; лицензированный пакет LRC; новые бактрийские документы al-Sabah; современные издания нескольких староуйгурских сутр; переводы биографии Сюаньцзана и языковые варианты Golden Light. Они добавлены не по общему тематическому сходству, а как оригинал, параллельная редакция, перевод, свидетель или прямой член текстовой семьи.</w:t>
      </w:r>
      <w:r>
        <w:t xml:space="preserve"> </w:t>
      </w:r>
      <w:hyperlink r:id="rId11">
        <w:r>
          <w:rPr>
            <w:color w:val="146B85"/>
            <w:u w:val="single"/>
          </w:rPr>
          <w:t>[R010]</w:t>
        </w:r>
      </w:hyperlink>
      <w:r>
        <w:t xml:space="preserve"> </w:t>
      </w:r>
      <w:hyperlink r:id="rId12">
        <w:r>
          <w:rPr>
            <w:color w:val="146B85"/>
            <w:u w:val="single"/>
          </w:rPr>
          <w:t>[R043]</w:t>
        </w:r>
      </w:hyperlink>
      <w:r>
        <w:t xml:space="preserve"> </w:t>
      </w:r>
      <w:hyperlink r:id="rId13">
        <w:r>
          <w:rPr>
            <w:color w:val="146B85"/>
            <w:u w:val="single"/>
          </w:rPr>
          <w:t>[R044]</w:t>
        </w:r>
      </w:hyperlink>
      <w:r>
        <w:t xml:space="preserve"> </w:t>
      </w:r>
      <w:hyperlink r:id="rId14">
        <w:r>
          <w:rPr>
            <w:color w:val="146B85"/>
            <w:u w:val="single"/>
          </w:rPr>
          <w:t>[R048]</w:t>
        </w:r>
      </w:hyperlink>
      <w:r>
        <w:t xml:space="preserve"> </w:t>
      </w:r>
      <w:hyperlink r:id="rId15">
        <w:r>
          <w:rPr>
            <w:color w:val="146B85"/>
            <w:u w:val="single"/>
          </w:rPr>
          <w:t>[R063]</w:t>
        </w:r>
      </w:hyperlink>
      <w:r>
        <w:t xml:space="preserve"> </w:t>
      </w:r>
      <w:hyperlink r:id="rId16">
        <w:r>
          <w:rPr>
            <w:color w:val="146B85"/>
            <w:u w:val="single"/>
          </w:rPr>
          <w:t>[R064]</w:t>
        </w:r>
      </w:hyperlink>
      <w:r>
        <w:t xml:space="preserve"> </w:t>
      </w:r>
      <w:hyperlink r:id="rId17">
        <w:r>
          <w:rPr>
            <w:color w:val="146B85"/>
            <w:u w:val="single"/>
          </w:rPr>
          <w:t>[R065]</w:t>
        </w:r>
      </w:hyperlink>
      <w:r>
        <w:t xml:space="preserve"> </w:t>
      </w:r>
      <w:hyperlink r:id="rId18">
        <w:r>
          <w:rPr>
            <w:color w:val="146B85"/>
            <w:u w:val="single"/>
          </w:rPr>
          <w:t>[R066]</w:t>
        </w:r>
      </w:hyperlink>
      <w:r>
        <w:t xml:space="preserve"> </w:t>
      </w:r>
      <w:hyperlink r:id="rId19">
        <w:r>
          <w:rPr>
            <w:color w:val="146B85"/>
            <w:u w:val="single"/>
          </w:rPr>
          <w:t>[R067]</w:t>
        </w:r>
      </w:hyperlink>
      <w:r>
        <w:t xml:space="preserve"> </w:t>
      </w:r>
      <w:hyperlink r:id="rId20">
        <w:r>
          <w:rPr>
            <w:color w:val="146B85"/>
            <w:u w:val="single"/>
          </w:rPr>
          <w:t>[R072]</w:t>
        </w:r>
      </w:hyperlink>
      <w:r>
        <w:t xml:space="preserve"> </w:t>
      </w:r>
      <w:hyperlink r:id="rId21">
        <w:r>
          <w:rPr>
            <w:color w:val="146B85"/>
            <w:u w:val="single"/>
          </w:rPr>
          <w:t>[R080]</w:t>
        </w:r>
      </w:hyperlink>
    </w:p>
    <w:p>
      <w:pPr>
        <w:pStyle w:val="Heading2"/>
      </w:pPr>
      <w:r>
        <w:t>Количественный итог без подмены единиц</w:t>
      </w:r>
    </w:p>
    <w:p>
      <w:r>
        <w:t>Основной лист содержит 80 практически различимых путей доступа: 73 предметные записи, шесть инфраструктурных и одну вторично-навигационную. В содержательном счёте это около 40 произведений, документальных массивов и тесных текстовых семей. Последнее число намеренно приблизительно: сборники частично перекрываются, а один и тот же Golden Light представлен несколькими языками и свидетелями. Это не 80 разных древних произведений и не окончательная глобальная дедупликация.</w:t>
      </w:r>
    </w:p>
    <w:p>
      <w:r>
        <w:t>Релевантность записей: core — 29; same_corpus_or_tradition — 20; antecedent — 9; transmission_or_preservation — 9; continuation — 2; commentary_or_reception — 1; boundary — 3; infrastructure — 6; secondary_navigation — 1. Категория supporting в этом наборе отдельно не понадобилась. На листе gaps — 41 конкретная проблема или кандидат; это не 41 доказанное отсутствующее произведение.</w:t>
      </w:r>
    </w:p>
    <w:p>
      <w:pPr>
        <w:pStyle w:val="Heading2"/>
      </w:pPr>
      <w:r>
        <w:t>Хронологический ореол: назад во времени</w:t>
      </w:r>
    </w:p>
    <w:p>
      <w:r>
        <w:t>Рабатак и Сурх-Котал включены как кушанские предшественники бактрийской письменной инфраструктуры. Их фотографии позволяют увидеть ранний эпиграфический слой, но не заменяют новое критическое чтение. Древние согдийские письма начала IV века относятся к той же документальной истории языка, что позднейшие архивы и переписка; современный английский перевод выбранных писем остаётся защищённым.</w:t>
      </w:r>
      <w:r>
        <w:t xml:space="preserve"> </w:t>
      </w:r>
      <w:hyperlink r:id="rId22">
        <w:r>
          <w:rPr>
            <w:color w:val="146B85"/>
            <w:u w:val="single"/>
          </w:rPr>
          <w:t>[R054]</w:t>
        </w:r>
      </w:hyperlink>
      <w:r>
        <w:t xml:space="preserve"> </w:t>
      </w:r>
      <w:hyperlink r:id="rId22">
        <w:r>
          <w:rPr>
            <w:color w:val="146B85"/>
            <w:u w:val="single"/>
          </w:rPr>
          <w:t>[R055]</w:t>
        </w:r>
      </w:hyperlink>
      <w:r>
        <w:t xml:space="preserve"> </w:t>
      </w:r>
      <w:hyperlink r:id="rId23">
        <w:r>
          <w:rPr>
            <w:color w:val="146B85"/>
            <w:u w:val="single"/>
          </w:rPr>
          <w:t>[R015]</w:t>
        </w:r>
      </w:hyperlink>
      <w:r>
        <w:t xml:space="preserve"> </w:t>
      </w:r>
      <w:hyperlink r:id="rId24">
        <w:r>
          <w:rPr>
            <w:color w:val="146B85"/>
            <w:u w:val="single"/>
          </w:rPr>
          <w:t>[R016]</w:t>
        </w:r>
      </w:hyperlink>
    </w:p>
    <w:p>
      <w:r>
        <w:t>Китайская T0643, связанная с переводом Буддхабхадры V века, — конкретный источник согдийского Dhyāna-text, а не случайный медитационный параллельный текст. T2886 связана с Dhūta, T2881 — с согдийской «Сутрой причин и следствий» Pelliot sogdien 4. Полнота китайского XML не восполняет утраченные или неоткрытые согдийские части. Санскритская Suvarṇaprabhāsa принадлежит той же семье, что Altun Yaruk, но староуйгурская версия связана непосредственно с китайской редакцией Ицзина: санскрит не подменяет её специфические дополнения.</w:t>
      </w:r>
      <w:r>
        <w:t xml:space="preserve"> </w:t>
      </w:r>
      <w:hyperlink r:id="rId14">
        <w:r>
          <w:rPr>
            <w:color w:val="146B85"/>
            <w:u w:val="single"/>
          </w:rPr>
          <w:t>[R048]</w:t>
        </w:r>
      </w:hyperlink>
      <w:r>
        <w:t xml:space="preserve"> </w:t>
      </w:r>
      <w:hyperlink r:id="rId16">
        <w:r>
          <w:rPr>
            <w:color w:val="146B85"/>
            <w:u w:val="single"/>
          </w:rPr>
          <w:t>[R064]</w:t>
        </w:r>
      </w:hyperlink>
      <w:r>
        <w:t xml:space="preserve"> </w:t>
      </w:r>
      <w:hyperlink r:id="rId17">
        <w:r>
          <w:rPr>
            <w:color w:val="146B85"/>
            <w:u w:val="single"/>
          </w:rPr>
          <w:t>[R065]</w:t>
        </w:r>
      </w:hyperlink>
      <w:r>
        <w:t xml:space="preserve"> </w:t>
      </w:r>
      <w:hyperlink r:id="rId18">
        <w:r>
          <w:rPr>
            <w:color w:val="146B85"/>
            <w:u w:val="single"/>
          </w:rPr>
          <w:t>[R066]</w:t>
        </w:r>
      </w:hyperlink>
      <w:r>
        <w:t xml:space="preserve"> </w:t>
      </w:r>
      <w:hyperlink r:id="rId19">
        <w:r>
          <w:rPr>
            <w:color w:val="146B85"/>
            <w:u w:val="single"/>
          </w:rPr>
          <w:t>[R067]</w:t>
        </w:r>
      </w:hyperlink>
    </w:p>
    <w:p>
      <w:pPr>
        <w:pStyle w:val="Heading2"/>
      </w:pPr>
      <w:r>
        <w:t>Вперёд во времени: продолжение, комментарий и сохранение</w:t>
      </w:r>
    </w:p>
    <w:p>
      <w:r>
        <w:t>Самый выразительный выход за XV век — почти полная староуйгурская рукопись Altun Yaruk, переписанная в 1687 году. Исследование Kasai 2026 связывает её с Сучжоу в Ганьсу и с поздней историей сохранения; старое издание Радлова и Малова 1913–1917 годов даёт отдельный путь к тексту. Наличие русского языка в каталоге этого издания не доказывает существования полного русского перевода. Точный цифровой вход к историческому свидетелю ещё требует установления.</w:t>
      </w:r>
      <w:r>
        <w:t xml:space="preserve"> </w:t>
      </w:r>
      <w:hyperlink r:id="rId25">
        <w:r>
          <w:rPr>
            <w:color w:val="146B85"/>
            <w:u w:val="single"/>
          </w:rPr>
          <w:t>[R046]</w:t>
        </w:r>
      </w:hyperlink>
      <w:r>
        <w:t xml:space="preserve"> </w:t>
      </w:r>
      <w:hyperlink r:id="rId26">
        <w:r>
          <w:rPr>
            <w:color w:val="146B85"/>
            <w:u w:val="single"/>
          </w:rPr>
          <w:t>[R047]</w:t>
        </w:r>
      </w:hyperlink>
    </w:p>
    <w:p>
      <w:r>
        <w:t>Maitreyasamitināṭaka / Maitreyasamiti и староуйгурский Maitrisimit исследуются как связанная линия передачи: современная публикация начала XI акта позволяет сопоставить две языковые формы. Староуйгурский комментарий к Vimalakīrti и покаянный Kšanti сохранены как собственные текстовые формы, а не растворены в перечне сутр. Для биографии Сюаньцзана разведены уйгурские фрагменты, их русские научные публикации и английский перевод китайского произведения.</w:t>
      </w:r>
      <w:r>
        <w:t xml:space="preserve"> </w:t>
      </w:r>
      <w:hyperlink r:id="rId27">
        <w:r>
          <w:rPr>
            <w:color w:val="146B85"/>
            <w:u w:val="single"/>
          </w:rPr>
          <w:t>[R057]</w:t>
        </w:r>
      </w:hyperlink>
      <w:r>
        <w:t xml:space="preserve"> </w:t>
      </w:r>
      <w:hyperlink r:id="rId28">
        <w:r>
          <w:rPr>
            <w:color w:val="146B85"/>
            <w:u w:val="single"/>
          </w:rPr>
          <w:t>[R033]</w:t>
        </w:r>
      </w:hyperlink>
      <w:r>
        <w:t xml:space="preserve"> </w:t>
      </w:r>
      <w:hyperlink r:id="rId29">
        <w:r>
          <w:rPr>
            <w:color w:val="146B85"/>
            <w:u w:val="single"/>
          </w:rPr>
          <w:t>[R037]</w:t>
        </w:r>
      </w:hyperlink>
      <w:r>
        <w:t xml:space="preserve"> </w:t>
      </w:r>
      <w:hyperlink r:id="rId30">
        <w:r>
          <w:rPr>
            <w:color w:val="146B85"/>
            <w:u w:val="single"/>
          </w:rPr>
          <w:t>[R070]</w:t>
        </w:r>
      </w:hyperlink>
      <w:r>
        <w:t xml:space="preserve"> </w:t>
      </w:r>
      <w:hyperlink r:id="rId31">
        <w:r>
          <w:rPr>
            <w:color w:val="146B85"/>
            <w:u w:val="single"/>
          </w:rPr>
          <w:t>[R071]</w:t>
        </w:r>
      </w:hyperlink>
      <w:r>
        <w:t xml:space="preserve"> </w:t>
      </w:r>
      <w:hyperlink r:id="rId20">
        <w:r>
          <w:rPr>
            <w:color w:val="146B85"/>
            <w:u w:val="single"/>
          </w:rPr>
          <w:t>[R072]</w:t>
        </w:r>
      </w:hyperlink>
    </w:p>
    <w:p>
      <w:r>
        <w:t>Арабские документы Хорасана 755–777 годов включены как документарное продолжение: издатель связывает их людей и топонимы с бактрийским архивом Khalili. Почтовые документы монгольского времени продолжают староуйгурскую деловую письменность. Qutadğu Bilig оставлен пограничным выходом к караханидской книжности, прямо обозначенным DR; непрерывная доктринальная линия от Орхона или буддийских сутр к нему не предполагается.</w:t>
      </w:r>
      <w:r>
        <w:t xml:space="preserve"> </w:t>
      </w:r>
      <w:hyperlink r:id="rId32">
        <w:r>
          <w:rPr>
            <w:color w:val="146B85"/>
            <w:u w:val="single"/>
          </w:rPr>
          <w:t>[R008]</w:t>
        </w:r>
      </w:hyperlink>
      <w:r>
        <w:t xml:space="preserve"> </w:t>
      </w:r>
      <w:hyperlink r:id="rId33">
        <w:r>
          <w:rPr>
            <w:color w:val="146B85"/>
            <w:u w:val="single"/>
          </w:rPr>
          <w:t>[R041]</w:t>
        </w:r>
      </w:hyperlink>
      <w:r>
        <w:t xml:space="preserve"> </w:t>
      </w:r>
      <w:hyperlink r:id="rId34">
        <w:r>
          <w:rPr>
            <w:color w:val="146B85"/>
            <w:u w:val="single"/>
          </w:rPr>
          <w:t>[R077]</w:t>
        </w:r>
      </w:hyperlink>
    </w:p>
    <w:p>
      <w:r>
        <w:t>Современные русский, английский, монгольский и тибетский варианты Golden Light — поздний слой доступа к той же текстовой семье. Они не объявлены переводами непосредственно с уйгурского. Хотанские, позднемонгольские и иные возможные ответвления, для которых конкретная связь ещё не подтверждена достаточно точно, оставлены в gaps, а не автоматически расширили ядро.</w:t>
      </w:r>
      <w:r>
        <w:t xml:space="preserve"> </w:t>
      </w:r>
      <w:hyperlink r:id="rId35">
        <w:r>
          <w:rPr>
            <w:color w:val="146B85"/>
            <w:u w:val="single"/>
          </w:rPr>
          <w:t>[R073]</w:t>
        </w:r>
      </w:hyperlink>
      <w:r>
        <w:t xml:space="preserve"> </w:t>
      </w:r>
      <w:hyperlink r:id="rId36">
        <w:r>
          <w:rPr>
            <w:color w:val="146B85"/>
            <w:u w:val="single"/>
          </w:rPr>
          <w:t>[R074]</w:t>
        </w:r>
      </w:hyperlink>
      <w:r>
        <w:t xml:space="preserve"> </w:t>
      </w:r>
      <w:hyperlink r:id="rId37">
        <w:r>
          <w:rPr>
            <w:color w:val="146B85"/>
            <w:u w:val="single"/>
          </w:rPr>
          <w:t>[R075]</w:t>
        </w:r>
      </w:hyperlink>
      <w:r>
        <w:t xml:space="preserve"> </w:t>
      </w:r>
      <w:hyperlink r:id="rId38">
        <w:r>
          <w:rPr>
            <w:color w:val="146B85"/>
            <w:u w:val="single"/>
          </w:rPr>
          <w:t>[R076]</w:t>
        </w:r>
      </w:hyperlink>
    </w:p>
    <w:p>
      <w:pPr>
        <w:pStyle w:val="Heading2"/>
      </w:pPr>
      <w:r>
        <w:t>Как выбирались доказательства</w:t>
      </w:r>
    </w:p>
    <w:p>
      <w:r>
        <w:t>Для доступа использованы официальные страницы BBAW/DTA, IDP, университетов, IOM РАН, библиотек, Khalili, Cambridge, Brepols, BDK, FPMT и другие страницы издателей и хранителей. Для идентификации — критические публикации, CII, библиотечные каталоги и специализированные академические исследования. Для прав — уведомление самого объекта, файл LICENSE/README или применимые условия правообладателя. Энциклопедический обзор Yoshida служил библиографическим указателем, но не разрешением на копирование.</w:t>
      </w:r>
    </w:p>
    <w:p>
      <w:pPr>
        <w:keepLines/>
      </w:pPr>
      <w:r>
        <w:t>Wikipedia не включена в итоговые URL и не служит доказательством. Кандидаты, не получившие достаточного институционального подтверждения конкретной связи или версии, обозначены как unverified_candidate. Некоторые такие пробелы возникли уже из DR или поисковых подсказок; их статус означает недостаточность проверки, а не установленную ошибочность.</w:t>
      </w:r>
    </w:p>
    <w:p>
      <w:pPr>
        <w:pStyle w:val="Heading1"/>
        <w:pageBreakBefore w:val="0"/>
      </w:pPr>
      <w:r>
        <w:t>3. Лучшие пути доступа</w:t>
      </w:r>
    </w:p>
    <w:p>
      <w:r>
        <w:t>«Лучший» здесь означает наиболее полезный из найденных и проверенных в данном запуске, а не окончательный рейтинг всех существующих изданий. Порталы оставлены как инфраструктура, но рекомендации ниже ведут преимущественно к определённой книге, статье, свидетелю или файлу.</w:t>
      </w:r>
    </w:p>
    <w:p>
      <w:pPr>
        <w:pStyle w:val="Heading2"/>
      </w:pPr>
      <w:r>
        <w:t>Согдийские архивы, письма и буддийская литература</w:t>
      </w:r>
    </w:p>
    <w:p>
      <w:r>
        <w:t>Для Мугского архива наиболее прямой бесплатный вход — официальный PDF хозяйственных документов в издании 1963 года на сайте ИВР РАН. Юридические документы и письма из тома II 1962 года подтверждены карточкой, но файл не открылся. Сборник Рагозы 1980 года предоставляет ещё один официальный путь скачивания согдийских фрагментов, однако крупный файл не был полностью просмотрен. Эти публикации полезны для русскоязычного исследования; основание для публичного зеркала не установлено.</w:t>
      </w:r>
      <w:r>
        <w:t xml:space="preserve"> </w:t>
      </w:r>
      <w:hyperlink r:id="rId39">
        <w:r>
          <w:rPr>
            <w:color w:val="146B85"/>
            <w:u w:val="single"/>
          </w:rPr>
          <w:t>[R012]</w:t>
        </w:r>
      </w:hyperlink>
      <w:r>
        <w:t xml:space="preserve"> </w:t>
      </w:r>
      <w:hyperlink r:id="rId40">
        <w:r>
          <w:rPr>
            <w:color w:val="146B85"/>
            <w:u w:val="single"/>
          </w:rPr>
          <w:t>[R013]</w:t>
        </w:r>
      </w:hyperlink>
      <w:r>
        <w:t xml:space="preserve"> </w:t>
      </w:r>
      <w:hyperlink r:id="rId41">
        <w:r>
          <w:rPr>
            <w:color w:val="146B85"/>
            <w:u w:val="single"/>
          </w:rPr>
          <w:t>[R014]</w:t>
        </w:r>
      </w:hyperlink>
    </w:p>
    <w:p>
      <w:r>
        <w:t>Для Древних писем самый удобный бесплатный вход — английские переводы № 1, 2, 3 и 5 Николаса Симс-Уильямса на университетской странице. Это выбранные письма, не полный перевод всего корпуса, и современный перевод явно защищён. Научный издательский ориентир — новое издание Древних писем и других ранних документов, указанное CII; оно не заменено случайным свободным сканом.</w:t>
      </w:r>
      <w:r>
        <w:t xml:space="preserve"> </w:t>
      </w:r>
      <w:hyperlink r:id="rId23">
        <w:r>
          <w:rPr>
            <w:color w:val="146B85"/>
            <w:u w:val="single"/>
          </w:rPr>
          <w:t>[R015]</w:t>
        </w:r>
      </w:hyperlink>
      <w:r>
        <w:t xml:space="preserve"> </w:t>
      </w:r>
      <w:hyperlink r:id="rId24">
        <w:r>
          <w:rPr>
            <w:color w:val="146B85"/>
            <w:u w:val="single"/>
          </w:rPr>
          <w:t>[R016]</w:t>
        </w:r>
      </w:hyperlink>
    </w:p>
    <w:p>
      <w:r>
        <w:t>Для Vessantara найдена предметная карточка Pelliot Sogdien 1 через Biblissima: указан конкретный рукописный объект и переход к IIIF/Gallica, но сам просмотр всех изображений не подтверждён. Для немедленного чтения согдийского оригинала более надёжен открытый в этом запуске TITUS-текст Dīrghanakhaparipṛcchā и формулы восьми предписаний: существенный цифровой слой P5 + P17, с редакторской историей и запретом повторной публикации без разрешения.</w:t>
      </w:r>
      <w:r>
        <w:t xml:space="preserve"> </w:t>
      </w:r>
      <w:hyperlink r:id="rId42">
        <w:r>
          <w:rPr>
            <w:color w:val="146B85"/>
            <w:u w:val="single"/>
          </w:rPr>
          <w:t>[R021]</w:t>
        </w:r>
      </w:hyperlink>
      <w:r>
        <w:t xml:space="preserve"> </w:t>
      </w:r>
      <w:hyperlink r:id="rId43">
        <w:r>
          <w:rPr>
            <w:color w:val="146B85"/>
            <w:u w:val="single"/>
          </w:rPr>
          <w:t>[R079]</w:t>
        </w:r>
      </w:hyperlink>
    </w:p>
    <w:p>
      <w:r>
        <w:t>MacKenzie, The Buddhist Sogdian Texts of the British Library, остаётся необходимым научным входом, хотя страницы поставщиков дали ошибки. Будущая BT 53 с согдийской Mahāparinirvāṇa-сутрой на дату проверки обозначена издателем как Forthcoming (Sep/26), Pre-order: это путь к предзаказу, не уже доступная электронная книга. Отдельные Dhūta/Dhyāna и согдийские Prajñāpāramitā-комментарии не считаются полностью закрытыми за счёт найденных китайских параллелей.</w:t>
      </w:r>
      <w:r>
        <w:t xml:space="preserve"> </w:t>
      </w:r>
      <w:hyperlink r:id="rId44">
        <w:r>
          <w:rPr>
            <w:color w:val="146B85"/>
            <w:u w:val="single"/>
          </w:rPr>
          <w:t>[R022]</w:t>
        </w:r>
      </w:hyperlink>
      <w:r>
        <w:t xml:space="preserve"> </w:t>
      </w:r>
      <w:hyperlink r:id="rId45">
        <w:r>
          <w:rPr>
            <w:color w:val="146B85"/>
            <w:u w:val="single"/>
          </w:rPr>
          <w:t>[R023]</w:t>
        </w:r>
      </w:hyperlink>
      <w:r>
        <w:t xml:space="preserve"> </w:t>
      </w:r>
      <w:hyperlink r:id="rId46">
        <w:r>
          <w:rPr>
            <w:color w:val="146B85"/>
            <w:u w:val="single"/>
          </w:rPr>
          <w:t>[R024]</w:t>
        </w:r>
      </w:hyperlink>
    </w:p>
    <w:p>
      <w:pPr>
        <w:pStyle w:val="Heading2"/>
      </w:pPr>
      <w:r>
        <w:t>Бактрийский документальный массив</w:t>
      </w:r>
    </w:p>
    <w:p>
      <w:r>
        <w:t>Базовая научная опора — Bactrian Documents I–III, дополненная томом IV о материалах южнее Гиндукуша. CII даёт проверяемую библиографию и издательский маршрут. Для тома III Khalili официально предлагает бесплатную выдачу PDF через email-форму; регистрация не выполнялась и получение файла не проверялось. Аналогичный путь обнаружен для арабских документов Хорасана, непосредственно связанных с бактрийским архивом.</w:t>
      </w:r>
      <w:r>
        <w:t xml:space="preserve"> </w:t>
      </w:r>
      <w:hyperlink r:id="rId47">
        <w:r>
          <w:rPr>
            <w:color w:val="146B85"/>
            <w:u w:val="single"/>
          </w:rPr>
          <w:t>[R004]</w:t>
        </w:r>
      </w:hyperlink>
      <w:r>
        <w:t xml:space="preserve"> </w:t>
      </w:r>
      <w:hyperlink r:id="rId48">
        <w:r>
          <w:rPr>
            <w:color w:val="146B85"/>
            <w:u w:val="single"/>
          </w:rPr>
          <w:t>[R005]</w:t>
        </w:r>
      </w:hyperlink>
      <w:r>
        <w:t xml:space="preserve"> </w:t>
      </w:r>
      <w:hyperlink r:id="rId49">
        <w:r>
          <w:rPr>
            <w:color w:val="146B85"/>
            <w:u w:val="single"/>
          </w:rPr>
          <w:t>[R006]</w:t>
        </w:r>
      </w:hyperlink>
      <w:r>
        <w:t xml:space="preserve"> </w:t>
      </w:r>
      <w:hyperlink r:id="rId50">
        <w:r>
          <w:rPr>
            <w:color w:val="146B85"/>
            <w:u w:val="single"/>
          </w:rPr>
          <w:t>[R007]</w:t>
        </w:r>
      </w:hyperlink>
      <w:r>
        <w:t xml:space="preserve"> </w:t>
      </w:r>
      <w:hyperlink r:id="rId32">
        <w:r>
          <w:rPr>
            <w:color w:val="146B85"/>
            <w:u w:val="single"/>
          </w:rPr>
          <w:t>[R008]</w:t>
        </w:r>
      </w:hyperlink>
      <w:r>
        <w:t xml:space="preserve"> </w:t>
      </w:r>
      <w:hyperlink r:id="rId51">
        <w:r>
          <w:rPr>
            <w:color w:val="146B85"/>
            <w:u w:val="single"/>
          </w:rPr>
          <w:t>[R009]</w:t>
        </w:r>
      </w:hyperlink>
    </w:p>
    <w:p>
      <w:r>
        <w:t>Самый свободный современный текстовый слой этой ветви — первичное издание двух документов al-Sabah, ao и cs, опубликованное в 2026 году. Полный HTML открыт; авторский текст распространяется по CC BY 4.0. Это реальная основа для атрибутированного использования редакции двух документов, но не всего корпуса; фотографии коллекции имеют отдельные кредиты. Для отдельного физического свидетеля пригодна музейная карточка аренды виноградника DOC 5, датируемая 712–713 годами.</w:t>
      </w:r>
      <w:r>
        <w:t xml:space="preserve"> </w:t>
      </w:r>
      <w:hyperlink r:id="rId11">
        <w:r>
          <w:rPr>
            <w:color w:val="146B85"/>
            <w:u w:val="single"/>
          </w:rPr>
          <w:t>[R010]</w:t>
        </w:r>
      </w:hyperlink>
      <w:r>
        <w:t xml:space="preserve"> </w:t>
      </w:r>
      <w:hyperlink r:id="rId52">
        <w:r>
          <w:rPr>
            <w:color w:val="146B85"/>
            <w:u w:val="single"/>
          </w:rPr>
          <w:t>[R011]</w:t>
        </w:r>
      </w:hyperlink>
    </w:p>
    <w:p>
      <w:r>
        <w:t>Для кушанских предшественников найдены университетские фотографии Рабатака и Сурх-Котала. Это полезнее общей исторической иллюстрации: виден сам памятник. Однако право на повторное распространение этих снимков не доказано, а старое сопровождающее чтение не объявлено окончательной современной редакцией. Лучшее критическое издание надписей ещё нужно сопоставить с этими визуальными входами.</w:t>
      </w:r>
      <w:r>
        <w:t xml:space="preserve"> </w:t>
      </w:r>
      <w:hyperlink r:id="rId22">
        <w:r>
          <w:rPr>
            <w:color w:val="146B85"/>
            <w:u w:val="single"/>
          </w:rPr>
          <w:t>[R054]</w:t>
        </w:r>
      </w:hyperlink>
      <w:r>
        <w:t xml:space="preserve"> </w:t>
      </w:r>
      <w:hyperlink r:id="rId22">
        <w:r>
          <w:rPr>
            <w:color w:val="146B85"/>
            <w:u w:val="single"/>
          </w:rPr>
          <w:t>[R055]</w:t>
        </w:r>
      </w:hyperlink>
    </w:p>
    <w:p>
      <w:pPr>
        <w:pStyle w:val="Heading2"/>
      </w:pPr>
      <w:r>
        <w:t>Тохарские оригиналы, переводы и данные</w:t>
      </w:r>
    </w:p>
    <w:p>
      <w:r>
        <w:t>Для знакомства с читаемым текстом самые удобные бесплатные варианты — три урока Tocharian Online в LRC: Maitreyasamiti на тохарском A, Puṇyavanta-Jātaka на A и рассказ о последней трапезе Будды на B. Каждый содержит определённый отрывок, английский перевод и грамматические глоссы. Ни один не заявлен полным произведением. Старое Tocharische Sprachreste A 1921 года доступно через институциональное сканирование в Internet Archive; этот вход относится к историческому тому транскрипций, а не ко всем рукописям A/B или отдельному тому таблиц.</w:t>
      </w:r>
      <w:r>
        <w:t xml:space="preserve"> </w:t>
      </w:r>
      <w:hyperlink r:id="rId53">
        <w:r>
          <w:rPr>
            <w:color w:val="146B85"/>
            <w:u w:val="single"/>
          </w:rPr>
          <w:t>[R060]</w:t>
        </w:r>
      </w:hyperlink>
      <w:r>
        <w:t xml:space="preserve"> </w:t>
      </w:r>
      <w:hyperlink r:id="rId54">
        <w:r>
          <w:rPr>
            <w:color w:val="146B85"/>
            <w:u w:val="single"/>
          </w:rPr>
          <w:t>[R061]</w:t>
        </w:r>
      </w:hyperlink>
      <w:r>
        <w:t xml:space="preserve"> </w:t>
      </w:r>
      <w:hyperlink r:id="rId55">
        <w:r>
          <w:rPr>
            <w:color w:val="146B85"/>
            <w:u w:val="single"/>
          </w:rPr>
          <w:t>[R062]</w:t>
        </w:r>
      </w:hyperlink>
      <w:r>
        <w:t xml:space="preserve"> </w:t>
      </w:r>
      <w:hyperlink r:id="rId56">
        <w:r>
          <w:rPr>
            <w:color w:val="146B85"/>
            <w:u w:val="single"/>
          </w:rPr>
          <w:t>[R056]</w:t>
        </w:r>
      </w:hyperlink>
    </w:p>
    <w:p>
      <w:r>
        <w:t>Для текстологии линии Майтреи полезна открытая университетская копия сравнительного исследования начала XI акта тохарского и уйгурского текстов: это конкретная первичная реконструкция, а не общий обзор. Пять тохарских фрагментов коллекции Березовского опубликованы в открытом выпуске Written Monuments of the Orient; там представлены Udānavarga, монашеская формула и повествовательные/гимнические фрагменты. Важная поправка: SI 2921/7 не следует автоматически считать установленной Udānastotra.</w:t>
      </w:r>
      <w:r>
        <w:t xml:space="preserve"> </w:t>
      </w:r>
      <w:hyperlink r:id="rId27">
        <w:r>
          <w:rPr>
            <w:color w:val="146B85"/>
            <w:u w:val="single"/>
          </w:rPr>
          <w:t>[R057]</w:t>
        </w:r>
      </w:hyperlink>
      <w:r>
        <w:t xml:space="preserve"> </w:t>
      </w:r>
      <w:hyperlink r:id="rId57">
        <w:r>
          <w:rPr>
            <w:color w:val="146B85"/>
            <w:u w:val="single"/>
          </w:rPr>
          <w:t>[R058]</w:t>
        </w:r>
      </w:hyperlink>
    </w:p>
    <w:p>
      <w:r>
        <w:t>Наиболее практичный машиночитаемый вход — тохарские части выпуска LRC Dead Languages Corpus от 2022-11-17. Лицензия данных CC BY-NC 4.0 отделена от MIT-лицензии кода. Проверен исходный JSONL тохарского B; пакет учитывается одной записью. В нём не завершено заполнение английского поля chunks.en_text, поэтому это не готовый параллельный корпус перевода каждого предложения. Разрешённый перевод ToS ограничивается действительно включёнными оригинальными отрывками.</w:t>
      </w:r>
      <w:r>
        <w:t xml:space="preserve"> </w:t>
      </w:r>
      <w:hyperlink r:id="rId15">
        <w:r>
          <w:rPr>
            <w:color w:val="146B85"/>
            <w:u w:val="single"/>
          </w:rPr>
          <w:t>[R063]</w:t>
        </w:r>
      </w:hyperlink>
    </w:p>
    <w:p>
      <w:r>
        <w:t>CEToM остаётся важнейшим направлением для полного рукописного поиска, но инструмент получил JavaScript-оболочку, а не проверенный набор item-level записей или экспорт. TITUS дал действительный текст небольшого THT 1040; это конкретный фрагмент с пятью строками на каждой стороне, без приписанного ему неизвестного сочинения. Для IOL Toch 81 и введения Udānastotra сохранены научные издательские входы; полного открытого факсимиле первого и полного перевода второго не установлено.</w:t>
      </w:r>
      <w:r>
        <w:t xml:space="preserve"> </w:t>
      </w:r>
      <w:hyperlink r:id="rId58">
        <w:r>
          <w:rPr>
            <w:color w:val="146B85"/>
            <w:u w:val="single"/>
          </w:rPr>
          <w:t>[R003]</w:t>
        </w:r>
      </w:hyperlink>
      <w:r>
        <w:t xml:space="preserve"> </w:t>
      </w:r>
      <w:hyperlink r:id="rId21">
        <w:r>
          <w:rPr>
            <w:color w:val="146B85"/>
            <w:u w:val="single"/>
          </w:rPr>
          <w:t>[R080]</w:t>
        </w:r>
      </w:hyperlink>
      <w:r>
        <w:t xml:space="preserve"> </w:t>
      </w:r>
      <w:hyperlink r:id="rId59">
        <w:r>
          <w:rPr>
            <w:color w:val="146B85"/>
            <w:u w:val="single"/>
          </w:rPr>
          <w:t>[R059]</w:t>
        </w:r>
      </w:hyperlink>
      <w:r>
        <w:t xml:space="preserve"> </w:t>
      </w:r>
      <w:hyperlink r:id="rId60">
        <w:r>
          <w:rPr>
            <w:color w:val="146B85"/>
            <w:u w:val="single"/>
          </w:rPr>
          <w:t>[R068]</w:t>
        </w:r>
      </w:hyperlink>
    </w:p>
    <w:p>
      <w:pPr>
        <w:pStyle w:val="Heading2"/>
      </w:pPr>
      <w:r>
        <w:t>Орхон, Тоньюкук, Карабалгасун и Irk Bitig</w:t>
      </w:r>
    </w:p>
    <w:p>
      <w:r>
        <w:t>Для Кюль-тегина и Бильге-кагана найдено историческое французское издание Томсена 1896 года в институционально происходящем скане Internet Archive. Карточка содержит варианты чтения и скачивания, а также заявление NOT_IN_COPYRIGHT для США; сам PDF-переход не открылся. Это хороший старый вход, но чтения следует сопоставлять с современными изданиями, а заявленный американский статус не превращать в безусловное международное разрешение.</w:t>
      </w:r>
      <w:r>
        <w:t xml:space="preserve"> </w:t>
      </w:r>
      <w:hyperlink r:id="rId61">
        <w:r>
          <w:rPr>
            <w:color w:val="146B85"/>
            <w:u w:val="single"/>
          </w:rPr>
          <w:t>[R050]</w:t>
        </w:r>
      </w:hyperlink>
    </w:p>
    <w:p>
      <w:r>
        <w:t>Среди проверенных современных вариантов — Orhon Yazıtları Талата Текина, охватывающий три больших памятника, и расширенный эпиграфический сборник Мехмета Ольмеза. Для Irk Bitig официальная карточка Harrassowitz даёт научное издание Текина с факсимиле; рукопись Or.8212/161 отдельно ещё не открыта. Английский перевод Тоньюкука 1930 года сохранён как preview / институциональный доступ, а не как свободный текст.</w:t>
      </w:r>
      <w:r>
        <w:t xml:space="preserve"> </w:t>
      </w:r>
      <w:hyperlink r:id="rId62">
        <w:r>
          <w:rPr>
            <w:color w:val="146B85"/>
            <w:u w:val="single"/>
          </w:rPr>
          <w:t>[R051]</w:t>
        </w:r>
      </w:hyperlink>
      <w:r>
        <w:t xml:space="preserve"> </w:t>
      </w:r>
      <w:hyperlink r:id="rId63">
        <w:r>
          <w:rPr>
            <w:color w:val="146B85"/>
            <w:u w:val="single"/>
          </w:rPr>
          <w:t>[R052]</w:t>
        </w:r>
      </w:hyperlink>
      <w:r>
        <w:t xml:space="preserve"> </w:t>
      </w:r>
      <w:hyperlink r:id="rId64">
        <w:r>
          <w:rPr>
            <w:color w:val="146B85"/>
            <w:u w:val="single"/>
          </w:rPr>
          <w:t>[R049]</w:t>
        </w:r>
      </w:hyperlink>
      <w:r>
        <w:t xml:space="preserve"> </w:t>
      </w:r>
      <w:hyperlink r:id="rId65">
        <w:r>
          <w:rPr>
            <w:color w:val="146B85"/>
            <w:u w:val="single"/>
          </w:rPr>
          <w:t>[R053]</w:t>
        </w:r>
      </w:hyperlink>
    </w:p>
    <w:p>
      <w:r>
        <w:t>Издание согдийской версии Карабалгасунской надписи Йосидой, 2020, подтверждено институциональной библиографией NII и связано с Toyo Bunko. Репозиторий вернул ошибку/ограничение; метка Open Access в библиографии не выдана за проверенный PDF или свободную лицензию. Эта запись удерживает центральный памятник в реестре, одновременно делая пробел доступа видимым.</w:t>
      </w:r>
      <w:r>
        <w:t xml:space="preserve"> </w:t>
      </w:r>
      <w:hyperlink r:id="rId66">
        <w:r>
          <w:rPr>
            <w:color w:val="146B85"/>
            <w:u w:val="single"/>
          </w:rPr>
          <w:t>[R069]</w:t>
        </w:r>
      </w:hyperlink>
    </w:p>
    <w:p>
      <w:pPr>
        <w:pStyle w:val="Heading2"/>
      </w:pPr>
      <w:r>
        <w:t>Староуйгурские сутры, комментарии и документальная среда</w:t>
      </w:r>
    </w:p>
    <w:p>
      <w:r>
        <w:t>Для Altun Yaruk оптимально сочетать четыре неэквивалентных слоя: фотографию U 3285 в DTA; старое уйгурское издание Радлова–Малова; санскритский e-text GRETIL; китайскую редакцию Ицзина T0665 в CBETA. Для научной сверки отдельных частей найдены BT 18 — предисловия и первая книга — и BT 21 — глава о трёх телах Будды. Один фрагмент или одна рецензия сутры не дают полного охвата остальных.</w:t>
      </w:r>
      <w:r>
        <w:t xml:space="preserve"> </w:t>
      </w:r>
      <w:hyperlink r:id="rId12">
        <w:r>
          <w:rPr>
            <w:color w:val="146B85"/>
            <w:u w:val="single"/>
          </w:rPr>
          <w:t>[R043]</w:t>
        </w:r>
      </w:hyperlink>
      <w:r>
        <w:t xml:space="preserve"> </w:t>
      </w:r>
      <w:hyperlink r:id="rId25">
        <w:r>
          <w:rPr>
            <w:color w:val="146B85"/>
            <w:u w:val="single"/>
          </w:rPr>
          <w:t>[R046]</w:t>
        </w:r>
      </w:hyperlink>
      <w:r>
        <w:t xml:space="preserve"> </w:t>
      </w:r>
      <w:hyperlink r:id="rId14">
        <w:r>
          <w:rPr>
            <w:color w:val="146B85"/>
            <w:u w:val="single"/>
          </w:rPr>
          <w:t>[R048]</w:t>
        </w:r>
      </w:hyperlink>
      <w:r>
        <w:t xml:space="preserve"> </w:t>
      </w:r>
      <w:hyperlink r:id="rId16">
        <w:r>
          <w:rPr>
            <w:color w:val="146B85"/>
            <w:u w:val="single"/>
          </w:rPr>
          <w:t>[R064]</w:t>
        </w:r>
      </w:hyperlink>
      <w:r>
        <w:t xml:space="preserve"> </w:t>
      </w:r>
      <w:hyperlink r:id="rId67">
        <w:r>
          <w:rPr>
            <w:color w:val="146B85"/>
            <w:u w:val="single"/>
          </w:rPr>
          <w:t>[R035]</w:t>
        </w:r>
      </w:hyperlink>
      <w:r>
        <w:t xml:space="preserve"> </w:t>
      </w:r>
      <w:hyperlink r:id="rId68">
        <w:r>
          <w:rPr>
            <w:color w:val="146B85"/>
            <w:u w:val="single"/>
          </w:rPr>
          <w:t>[R036]</w:t>
        </w:r>
      </w:hyperlink>
    </w:p>
    <w:p>
      <w:r>
        <w:t>Maitrisimit представлен основным изданием BT 9 и открытой публикацией отдельных фрагментов Петербурга, Хельсинки и Берлина. Для Daśakarmapathāvadānamālā сохранён трёхтомный BT 37. Основные тома могут быть распроданы или временно отсутствовать: в реестре указан именно этот статус, а не ложная действующая продажа. У Säkiz Yükmäk есть современное издание BT 33 и отдельное действительное факсимиле U 7123.</w:t>
      </w:r>
      <w:r>
        <w:t xml:space="preserve"> </w:t>
      </w:r>
      <w:hyperlink r:id="rId69">
        <w:r>
          <w:rPr>
            <w:color w:val="146B85"/>
            <w:u w:val="single"/>
          </w:rPr>
          <w:t>[R025]</w:t>
        </w:r>
      </w:hyperlink>
      <w:r>
        <w:t xml:space="preserve"> </w:t>
      </w:r>
      <w:hyperlink r:id="rId70">
        <w:r>
          <w:rPr>
            <w:color w:val="146B85"/>
            <w:u w:val="single"/>
          </w:rPr>
          <w:t>[R045]</w:t>
        </w:r>
      </w:hyperlink>
      <w:r>
        <w:t xml:space="preserve"> </w:t>
      </w:r>
      <w:hyperlink r:id="rId71">
        <w:r>
          <w:rPr>
            <w:color w:val="146B85"/>
            <w:u w:val="single"/>
          </w:rPr>
          <w:t>[R026]</w:t>
        </w:r>
      </w:hyperlink>
      <w:r>
        <w:t xml:space="preserve"> </w:t>
      </w:r>
      <w:hyperlink r:id="rId72">
        <w:r>
          <w:rPr>
            <w:color w:val="146B85"/>
            <w:u w:val="single"/>
          </w:rPr>
          <w:t>[R029]</w:t>
        </w:r>
      </w:hyperlink>
      <w:r>
        <w:t xml:space="preserve"> </w:t>
      </w:r>
      <w:hyperlink r:id="rId13">
        <w:r>
          <w:rPr>
            <w:color w:val="146B85"/>
            <w:u w:val="single"/>
          </w:rPr>
          <w:t>[R044]</w:t>
        </w:r>
      </w:hyperlink>
    </w:p>
    <w:p>
      <w:r>
        <w:t>Научные item-level входы расширены изданиями Avalokiteśvara, Avataṃsaka, Prajñāpāramitā, комментарием к Vimalakīrti и Kšanti. Документальная ветвь представлена письмами, административными распоряжениями, буддийскими колофонами и почтовыми документами монгольского времени. Они полезны даже там, где открыт только каталог издателя: не подменять недоступное критическое издание слабым пересказом — важная часть карты доступа.</w:t>
      </w:r>
      <w:r>
        <w:t xml:space="preserve"> </w:t>
      </w:r>
      <w:hyperlink r:id="rId73">
        <w:r>
          <w:rPr>
            <w:color w:val="146B85"/>
            <w:u w:val="single"/>
          </w:rPr>
          <w:t>[R031]</w:t>
        </w:r>
      </w:hyperlink>
      <w:r>
        <w:t xml:space="preserve"> </w:t>
      </w:r>
      <w:hyperlink r:id="rId74">
        <w:r>
          <w:rPr>
            <w:color w:val="146B85"/>
            <w:u w:val="single"/>
          </w:rPr>
          <w:t>[R032]</w:t>
        </w:r>
      </w:hyperlink>
      <w:r>
        <w:t xml:space="preserve"> </w:t>
      </w:r>
      <w:hyperlink r:id="rId75">
        <w:r>
          <w:rPr>
            <w:color w:val="146B85"/>
            <w:u w:val="single"/>
          </w:rPr>
          <w:t>[R034]</w:t>
        </w:r>
      </w:hyperlink>
      <w:r>
        <w:t xml:space="preserve"> </w:t>
      </w:r>
      <w:hyperlink r:id="rId28">
        <w:r>
          <w:rPr>
            <w:color w:val="146B85"/>
            <w:u w:val="single"/>
          </w:rPr>
          <w:t>[R033]</w:t>
        </w:r>
      </w:hyperlink>
      <w:r>
        <w:t xml:space="preserve"> </w:t>
      </w:r>
      <w:hyperlink r:id="rId29">
        <w:r>
          <w:rPr>
            <w:color w:val="146B85"/>
            <w:u w:val="single"/>
          </w:rPr>
          <w:t>[R037]</w:t>
        </w:r>
      </w:hyperlink>
      <w:r>
        <w:t xml:space="preserve"> </w:t>
      </w:r>
      <w:hyperlink r:id="rId76">
        <w:r>
          <w:rPr>
            <w:color w:val="146B85"/>
            <w:u w:val="single"/>
          </w:rPr>
          <w:t>[R028]</w:t>
        </w:r>
      </w:hyperlink>
      <w:r>
        <w:t xml:space="preserve"> </w:t>
      </w:r>
      <w:hyperlink r:id="rId77">
        <w:r>
          <w:rPr>
            <w:color w:val="146B85"/>
            <w:u w:val="single"/>
          </w:rPr>
          <w:t>[R030]</w:t>
        </w:r>
      </w:hyperlink>
      <w:r>
        <w:t xml:space="preserve"> </w:t>
      </w:r>
      <w:hyperlink r:id="rId78">
        <w:r>
          <w:rPr>
            <w:color w:val="146B85"/>
            <w:u w:val="single"/>
          </w:rPr>
          <w:t>[R027]</w:t>
        </w:r>
      </w:hyperlink>
      <w:r>
        <w:t xml:space="preserve"> </w:t>
      </w:r>
      <w:hyperlink r:id="rId33">
        <w:r>
          <w:rPr>
            <w:color w:val="146B85"/>
            <w:u w:val="single"/>
          </w:rPr>
          <w:t>[R041]</w:t>
        </w:r>
      </w:hyperlink>
    </w:p>
    <w:p>
      <w:r>
        <w:t>Для биографии Сюаньцзана русский том Тугушевой 1980 года требует осторожности: открытый PDF содержит только семь страниц предисловия и содержания, а не все 179 страниц книги. Официальный путь к статье 1974 года о X главе тоже сохранён, но PDF не открылся. BDK предлагает полный английский перевод китайской биографии Ли Жунси, 1995: это удобный перевод произведения-источника, не замена староуйгурской версии.</w:t>
      </w:r>
      <w:r>
        <w:t xml:space="preserve"> </w:t>
      </w:r>
      <w:hyperlink r:id="rId30">
        <w:r>
          <w:rPr>
            <w:color w:val="146B85"/>
            <w:u w:val="single"/>
          </w:rPr>
          <w:t>[R070]</w:t>
        </w:r>
      </w:hyperlink>
      <w:r>
        <w:t xml:space="preserve"> </w:t>
      </w:r>
      <w:hyperlink r:id="rId31">
        <w:r>
          <w:rPr>
            <w:color w:val="146B85"/>
            <w:u w:val="single"/>
          </w:rPr>
          <w:t>[R071]</w:t>
        </w:r>
      </w:hyperlink>
      <w:r>
        <w:t xml:space="preserve"> </w:t>
      </w:r>
      <w:hyperlink r:id="rId20">
        <w:r>
          <w:rPr>
            <w:color w:val="146B85"/>
            <w:u w:val="single"/>
          </w:rPr>
          <w:t>[R072]</w:t>
        </w:r>
      </w:hyperlink>
    </w:p>
    <w:p>
      <w:r>
        <w:t>Для современного чтения Golden Light найдены официальные страницы FPMT на английском, русском, монгольском и тибетском. Бесплатная выдача оформляется через заказ с email; отдельная обязательность аккаунта не проверена. Эти пути не обозначены как уже полученные файлы. Свободный старый полный русский перевод непосредственно староуйгурского Altun Yaruk не установлен; современный русский вариант FPMT решает другую задачу.</w:t>
      </w:r>
      <w:r>
        <w:t xml:space="preserve"> </w:t>
      </w:r>
      <w:hyperlink r:id="rId35">
        <w:r>
          <w:rPr>
            <w:color w:val="146B85"/>
            <w:u w:val="single"/>
          </w:rPr>
          <w:t>[R073]</w:t>
        </w:r>
      </w:hyperlink>
      <w:r>
        <w:t xml:space="preserve"> </w:t>
      </w:r>
      <w:hyperlink r:id="rId36">
        <w:r>
          <w:rPr>
            <w:color w:val="146B85"/>
            <w:u w:val="single"/>
          </w:rPr>
          <w:t>[R074]</w:t>
        </w:r>
      </w:hyperlink>
      <w:r>
        <w:t xml:space="preserve"> </w:t>
      </w:r>
      <w:hyperlink r:id="rId37">
        <w:r>
          <w:rPr>
            <w:color w:val="146B85"/>
            <w:u w:val="single"/>
          </w:rPr>
          <w:t>[R075]</w:t>
        </w:r>
      </w:hyperlink>
      <w:r>
        <w:t xml:space="preserve"> </w:t>
      </w:r>
      <w:hyperlink r:id="rId38">
        <w:r>
          <w:rPr>
            <w:color w:val="146B85"/>
            <w:u w:val="single"/>
          </w:rPr>
          <w:t>[R076]</w:t>
        </w:r>
      </w:hyperlink>
    </w:p>
    <w:p>
      <w:pPr>
        <w:pStyle w:val="Heading1"/>
        <w:pageBreakBefore w:val="0"/>
      </w:pPr>
      <w:r>
        <w:t>4. Карта прав и практического использования</w:t>
      </w:r>
    </w:p>
    <w:p>
      <w:r>
        <w:t>Разрешения действуют на определённый слой и объём, а не на название произведения вообще. Открытая древняя основа, современная филологическая реконструкция, перевод, скан и условия сайта могут давать разные ответы. Реестр поэтому не сводит решение к одной колонке «свободно / несвободно».</w:t>
      </w:r>
    </w:p>
    <w:tbl>
      <w:tblPr>
        <w:tblW w:type="auto" w:w="0"/>
        <w:jc w:val="center"/>
        <w:tblLayout w:type="fixed"/>
        <w:tblLook w:firstColumn="1" w:firstRow="1" w:lastColumn="0" w:lastRow="0" w:noHBand="0" w:noVBand="1" w:val="04A0"/>
      </w:tblPr>
      <w:tblGrid>
        <w:gridCol w:w="1984"/>
        <w:gridCol w:w="3770"/>
        <w:gridCol w:w="3770"/>
      </w:tblGrid>
      <w:tr>
        <w:trPr>
          <w:cantSplit/>
          <w:tblHeader/>
        </w:trPr>
        <w:tc>
          <w:tcPr>
            <w:tcW w:type="dxa" w:w="1984"/>
            <w:vAlign w:val="top"/>
            <w:shd w:fill="183D50"/>
          </w:tcPr>
          <w:p>
            <w:pPr>
              <w:spacing w:after="80" w:before="60" w:line="254" w:lineRule="auto"/>
            </w:pPr>
            <w:r>
              <w:rPr>
                <w:b/>
                <w:color w:val="FFFFFF"/>
                <w:sz w:val="20"/>
              </w:rPr>
              <w:t>Группа</w:t>
            </w:r>
          </w:p>
        </w:tc>
        <w:tc>
          <w:tcPr>
            <w:tcW w:type="dxa" w:w="3770"/>
            <w:vAlign w:val="top"/>
            <w:shd w:fill="183D50"/>
          </w:tcPr>
          <w:p>
            <w:pPr>
              <w:spacing w:after="80" w:before="60" w:line="254" w:lineRule="auto"/>
            </w:pPr>
            <w:r>
              <w:rPr>
                <w:b/>
                <w:color w:val="FFFFFF"/>
                <w:sz w:val="20"/>
              </w:rPr>
              <w:t>Что практически допустимо в найденном слое</w:t>
            </w:r>
          </w:p>
        </w:tc>
        <w:tc>
          <w:tcPr>
            <w:tcW w:type="dxa" w:w="3770"/>
            <w:vAlign w:val="top"/>
            <w:shd w:fill="183D50"/>
          </w:tcPr>
          <w:p>
            <w:pPr>
              <w:spacing w:after="80" w:before="60" w:line="254" w:lineRule="auto"/>
            </w:pPr>
            <w:r>
              <w:rPr>
                <w:b/>
                <w:color w:val="FFFFFF"/>
                <w:sz w:val="20"/>
              </w:rPr>
              <w:t>Что остаётся ограничением</w:t>
            </w:r>
          </w:p>
        </w:tc>
      </w:tr>
      <w:tr>
        <w:trPr>
          <w:cantSplit/>
        </w:trPr>
        <w:tc>
          <w:tcPr>
            <w:tcW w:type="dxa" w:w="1984"/>
            <w:vAlign w:val="top"/>
            <w:shd w:fill="F1F5F7"/>
          </w:tcPr>
          <w:p>
            <w:pPr>
              <w:spacing w:after="80" w:before="60" w:line="254" w:lineRule="auto"/>
            </w:pPr>
            <w:r>
              <w:rPr>
                <w:sz w:val="20"/>
              </w:rPr>
              <w:t>CC BY 4.0 — R010</w:t>
            </w:r>
          </w:p>
        </w:tc>
        <w:tc>
          <w:tcPr>
            <w:tcW w:type="dxa" w:w="3770"/>
            <w:vAlign w:val="top"/>
            <w:shd w:fill="F1F5F7"/>
          </w:tcPr>
          <w:p>
            <w:pPr>
              <w:spacing w:after="80" w:before="60" w:line="254" w:lineRule="auto"/>
            </w:pPr>
            <w:r>
              <w:rPr>
                <w:sz w:val="20"/>
              </w:rPr>
              <w:t>Атрибутированное использование авторского текста издания ao/cs; собственный перевод включённой бактрийской основы.</w:t>
            </w:r>
          </w:p>
        </w:tc>
        <w:tc>
          <w:tcPr>
            <w:tcW w:type="dxa" w:w="3770"/>
            <w:vAlign w:val="top"/>
            <w:shd w:fill="F1F5F7"/>
          </w:tcPr>
          <w:p>
            <w:pPr>
              <w:spacing w:after="80" w:before="60" w:line="254" w:lineRule="auto"/>
            </w:pPr>
            <w:r>
              <w:rPr>
                <w:sz w:val="20"/>
              </w:rPr>
              <w:t>Отдельные фотографии; весь бактрийский корпус; любые компоненты третьих лиц.</w:t>
            </w:r>
          </w:p>
        </w:tc>
      </w:tr>
      <w:tr>
        <w:trPr>
          <w:cantSplit/>
        </w:trPr>
        <w:tc>
          <w:tcPr>
            <w:tcW w:type="dxa" w:w="1984"/>
            <w:vAlign w:val="top"/>
            <w:shd w:fill="FFFFFF"/>
          </w:tcPr>
          <w:p>
            <w:pPr>
              <w:spacing w:after="80" w:before="60" w:line="254" w:lineRule="auto"/>
            </w:pPr>
            <w:r>
              <w:rPr>
                <w:sz w:val="20"/>
              </w:rPr>
              <w:t>CC BY-NC-SA 4.0 — R048</w:t>
            </w:r>
          </w:p>
        </w:tc>
        <w:tc>
          <w:tcPr>
            <w:tcW w:type="dxa" w:w="3770"/>
            <w:vAlign w:val="top"/>
            <w:shd w:fill="FFFFFF"/>
          </w:tcPr>
          <w:p>
            <w:pPr>
              <w:spacing w:after="80" w:before="60" w:line="254" w:lineRule="auto"/>
            </w:pPr>
            <w:r>
              <w:rPr>
                <w:sz w:val="20"/>
              </w:rPr>
              <w:t>Некоммерческое распространение и переработка указанного санскритского e-text с атрибуцией и ShareAlike.</w:t>
            </w:r>
          </w:p>
        </w:tc>
        <w:tc>
          <w:tcPr>
            <w:tcW w:type="dxa" w:w="3770"/>
            <w:vAlign w:val="top"/>
            <w:shd w:fill="FFFFFF"/>
          </w:tcPr>
          <w:p>
            <w:pPr>
              <w:spacing w:after="80" w:before="60" w:line="254" w:lineRule="auto"/>
            </w:pPr>
            <w:r>
              <w:rPr>
                <w:sz w:val="20"/>
              </w:rPr>
              <w:t>Не охватывает уйгурские дополнения, другие версии и весь проект-источник.</w:t>
            </w:r>
          </w:p>
        </w:tc>
      </w:tr>
      <w:tr>
        <w:trPr>
          <w:cantSplit/>
        </w:trPr>
        <w:tc>
          <w:tcPr>
            <w:tcW w:type="dxa" w:w="1984"/>
            <w:vAlign w:val="top"/>
            <w:shd w:fill="F1F5F7"/>
          </w:tcPr>
          <w:p>
            <w:pPr>
              <w:spacing w:after="80" w:before="60" w:line="254" w:lineRule="auto"/>
            </w:pPr>
            <w:r>
              <w:rPr>
                <w:sz w:val="20"/>
              </w:rPr>
              <w:t>CC BY-NC 4.0 — R063</w:t>
            </w:r>
          </w:p>
        </w:tc>
        <w:tc>
          <w:tcPr>
            <w:tcW w:type="dxa" w:w="3770"/>
            <w:vAlign w:val="top"/>
            <w:shd w:fill="F1F5F7"/>
          </w:tcPr>
          <w:p>
            <w:pPr>
              <w:spacing w:after="80" w:before="60" w:line="254" w:lineRule="auto"/>
            </w:pPr>
            <w:r>
              <w:rPr>
                <w:sz w:val="20"/>
              </w:rPr>
              <w:t>Некоммерческое использование тохарских данных выбранного выпуска LRC, с атрибуцией и указанием изменений.</w:t>
            </w:r>
          </w:p>
        </w:tc>
        <w:tc>
          <w:tcPr>
            <w:tcW w:type="dxa" w:w="3770"/>
            <w:vAlign w:val="top"/>
            <w:shd w:fill="F1F5F7"/>
          </w:tcPr>
          <w:p>
            <w:pPr>
              <w:spacing w:after="80" w:before="60" w:line="254" w:lineRule="auto"/>
            </w:pPr>
            <w:r>
              <w:rPr>
                <w:sz w:val="20"/>
              </w:rPr>
              <w:t>Не распространяет MIT кода на данные; не включает полные произведения, музейные изображения или весь CEToM.</w:t>
            </w:r>
          </w:p>
        </w:tc>
      </w:tr>
      <w:tr>
        <w:trPr>
          <w:cantSplit/>
        </w:trPr>
        <w:tc>
          <w:tcPr>
            <w:tcW w:type="dxa" w:w="1984"/>
            <w:vAlign w:val="top"/>
            <w:shd w:fill="FFFFFF"/>
          </w:tcPr>
          <w:p>
            <w:pPr>
              <w:spacing w:after="80" w:before="60" w:line="254" w:lineRule="auto"/>
            </w:pPr>
            <w:r>
              <w:rPr>
                <w:sz w:val="20"/>
              </w:rPr>
              <w:t>CC BY-NC-ND 4.0 — R045, R058</w:t>
            </w:r>
          </w:p>
        </w:tc>
        <w:tc>
          <w:tcPr>
            <w:tcW w:type="dxa" w:w="3770"/>
            <w:vAlign w:val="top"/>
            <w:shd w:fill="FFFFFF"/>
          </w:tcPr>
          <w:p>
            <w:pPr>
              <w:spacing w:after="80" w:before="60" w:line="254" w:lineRule="auto"/>
            </w:pPr>
            <w:r>
              <w:rPr>
                <w:sz w:val="20"/>
              </w:rPr>
              <w:t>Неизменённое некоммерческое распространение охваченного лицензией авторского компонента.</w:t>
            </w:r>
          </w:p>
        </w:tc>
        <w:tc>
          <w:tcPr>
            <w:tcW w:type="dxa" w:w="3770"/>
            <w:vAlign w:val="top"/>
            <w:shd w:fill="FFFFFF"/>
          </w:tcPr>
          <w:p>
            <w:pPr>
              <w:spacing w:after="80" w:before="60" w:line="254" w:lineRule="auto"/>
            </w:pPr>
            <w:r>
              <w:rPr>
                <w:sz w:val="20"/>
              </w:rPr>
              <w:t>Нельзя считать разрешённым новый публичный перевод/изменённую транскрипцию; фото и весь PDF требуют проверки кредитов.</w:t>
            </w:r>
          </w:p>
        </w:tc>
      </w:tr>
      <w:tr>
        <w:trPr>
          <w:cantSplit/>
        </w:trPr>
        <w:tc>
          <w:tcPr>
            <w:tcW w:type="dxa" w:w="1984"/>
            <w:vAlign w:val="top"/>
            <w:shd w:fill="F1F5F7"/>
          </w:tcPr>
          <w:p>
            <w:pPr>
              <w:spacing w:after="80" w:before="60" w:line="254" w:lineRule="auto"/>
            </w:pPr>
            <w:r>
              <w:rPr>
                <w:sz w:val="20"/>
              </w:rPr>
              <w:t>CBETA — R064–R067</w:t>
            </w:r>
          </w:p>
        </w:tc>
        <w:tc>
          <w:tcPr>
            <w:tcW w:type="dxa" w:w="3770"/>
            <w:vAlign w:val="top"/>
            <w:shd w:fill="F1F5F7"/>
          </w:tcPr>
          <w:p>
            <w:pPr>
              <w:spacing w:after="80" w:before="60" w:line="254" w:lineRule="auto"/>
            </w:pPr>
            <w:r>
              <w:rPr>
                <w:sz w:val="20"/>
              </w:rPr>
              <w:t>Некоммерческое размещение названных XML с сохранением header, атрибуции и лицензии.</w:t>
            </w:r>
          </w:p>
        </w:tc>
        <w:tc>
          <w:tcPr>
            <w:tcW w:type="dxa" w:w="3770"/>
            <w:vAlign w:val="top"/>
            <w:shd w:fill="F1F5F7"/>
          </w:tcPr>
          <w:p>
            <w:pPr>
              <w:spacing w:after="80" w:before="60" w:line="254" w:lineRule="auto"/>
            </w:pPr>
            <w:r>
              <w:rPr>
                <w:sz w:val="20"/>
              </w:rPr>
              <w:t>Переработка, новые переводы и embeddings оставлены на ручную проверку из-за дополнительных условий.</w:t>
            </w:r>
          </w:p>
        </w:tc>
      </w:tr>
      <w:tr>
        <w:trPr>
          <w:cantSplit/>
        </w:trPr>
        <w:tc>
          <w:tcPr>
            <w:tcW w:type="dxa" w:w="1984"/>
            <w:vAlign w:val="top"/>
            <w:shd w:fill="FFFFFF"/>
          </w:tcPr>
          <w:p>
            <w:pPr>
              <w:spacing w:after="80" w:before="60" w:line="254" w:lineRule="auto"/>
            </w:pPr>
            <w:r>
              <w:rPr>
                <w:sz w:val="20"/>
              </w:rPr>
              <w:t>DTA / TITUS / иные read-only пути</w:t>
            </w:r>
          </w:p>
        </w:tc>
        <w:tc>
          <w:tcPr>
            <w:tcW w:type="dxa" w:w="3770"/>
            <w:vAlign w:val="top"/>
            <w:shd w:fill="FFFFFF"/>
          </w:tcPr>
          <w:p>
            <w:pPr>
              <w:spacing w:after="80" w:before="60" w:line="254" w:lineRule="auto"/>
            </w:pPr>
            <w:r>
              <w:rPr>
                <w:sz w:val="20"/>
              </w:rPr>
              <w:t>Чтение; для DTA — научная локальная работа в пределах опубликованных условий.</w:t>
            </w:r>
          </w:p>
        </w:tc>
        <w:tc>
          <w:tcPr>
            <w:tcW w:type="dxa" w:w="3770"/>
            <w:vAlign w:val="top"/>
            <w:shd w:fill="FFFFFF"/>
          </w:tcPr>
          <w:p>
            <w:pPr>
              <w:spacing w:after="80" w:before="60" w:line="254" w:lineRule="auto"/>
            </w:pPr>
            <w:r>
              <w:rPr>
                <w:sz w:val="20"/>
              </w:rPr>
              <w:t>Публичное зеркало, передача изображений и повторная публикация транскрипций не следуют из бесплатного доступа.</w:t>
            </w:r>
          </w:p>
        </w:tc>
      </w:tr>
    </w:tbl>
    <w:p>
      <w:pPr>
        <w:spacing w:after="40"/>
      </w:pPr>
    </w:p>
    <w:p>
      <w:r>
        <w:t>Всего девять записей имеют положительную рекомендацию по повторному распространению, всегда с ограничениями объёма и условий; это не девять полностью свободных корпусов. Без некоммерческого ограничения наиболее свободен авторский текст двух документов al-Sabah. Для NC-проекта сильнее всего подготовлены санскритский e-text GRETIL и выборочный тохарский пакет LRC. Ни один из этих выводов не освобождает сторонние фотографии.</w:t>
      </w:r>
      <w:r>
        <w:t xml:space="preserve"> </w:t>
      </w:r>
      <w:hyperlink r:id="rId11">
        <w:r>
          <w:rPr>
            <w:color w:val="146B85"/>
            <w:u w:val="single"/>
          </w:rPr>
          <w:t>[R010]</w:t>
        </w:r>
      </w:hyperlink>
      <w:r>
        <w:t xml:space="preserve"> </w:t>
      </w:r>
      <w:hyperlink r:id="rId14">
        <w:r>
          <w:rPr>
            <w:color w:val="146B85"/>
            <w:u w:val="single"/>
          </w:rPr>
          <w:t>[R048]</w:t>
        </w:r>
      </w:hyperlink>
      <w:r>
        <w:t xml:space="preserve"> </w:t>
      </w:r>
      <w:hyperlink r:id="rId15">
        <w:r>
          <w:rPr>
            <w:color w:val="146B85"/>
            <w:u w:val="single"/>
          </w:rPr>
          <w:t>[R063]</w:t>
        </w:r>
      </w:hyperlink>
    </w:p>
    <w:p>
      <w:r>
        <w:t>Три записи содержат OWN_TRANSLATION_POSSIBLE: R010, R048 и R063. Во всех трёх указана конкретная открыто лицензированная исходная текстовая основа. Для R010 это два документа; для R048 — данная санскритская рецензия; для R063 — отрывки выпуска. Эти теги не обещают перевода всего Bactrian Documents, уйгурского Altun Yaruk или полного тохарского канона.</w:t>
      </w:r>
      <w:r>
        <w:t xml:space="preserve"> </w:t>
      </w:r>
      <w:hyperlink r:id="rId11">
        <w:r>
          <w:rPr>
            <w:color w:val="146B85"/>
            <w:u w:val="single"/>
          </w:rPr>
          <w:t>[R010]</w:t>
        </w:r>
      </w:hyperlink>
      <w:r>
        <w:t xml:space="preserve"> </w:t>
      </w:r>
      <w:hyperlink r:id="rId14">
        <w:r>
          <w:rPr>
            <w:color w:val="146B85"/>
            <w:u w:val="single"/>
          </w:rPr>
          <w:t>[R048]</w:t>
        </w:r>
      </w:hyperlink>
      <w:r>
        <w:t xml:space="preserve"> </w:t>
      </w:r>
      <w:hyperlink r:id="rId15">
        <w:r>
          <w:rPr>
            <w:color w:val="146B85"/>
            <w:u w:val="single"/>
          </w:rPr>
          <w:t>[R063]</w:t>
        </w:r>
      </w:hyperlink>
    </w:p>
    <w:p>
      <w:r>
        <w:t>FULLTEXT_INDEX_OK и EMBEDDINGS_OK здесь представляют ограниченный вывод из лицензий, допускающих воспроизведение и переработку соответствующего текстового слоя, а не найденную отдельную «AI-лицензию». В NC-случаях некоммерческие условия сохраняются. Для иных объектов наличие локальной исследовательской копии не превращено в разрешение публичного полнотекстового сервиса.</w:t>
      </w:r>
    </w:p>
    <w:p>
      <w:r>
        <w:t>OCR_OK не выставлен автоматически ни одному факсимиле. Это сознательное различение операций: фотографию можно видеть или скачать, но право на обработку, публикацию распознанного текста и распространение самого снимка требует отдельных оснований. В открытых текстовых пакетах OCR практически не нужен; для сложных древних письменностей остаётся и самостоятельный вопрос качества распознавания.</w:t>
      </w:r>
    </w:p>
    <w:p>
      <w:r>
        <w:t>Для книг Brepols, CII, Harrassowitz, BilgeSu и защищённых переводов сохранены purchase, preview, institutional_access или metadata_only. Доказанный сеанс библиотечной выдачи или Controlled Digital Lending в этом запуске не найден. Библиографическая запись WorldCat — путь к идентификации книги, но не подтверждение, что конкретная библиотека выдаст её пользователю.</w:t>
      </w:r>
      <w:r>
        <w:t xml:space="preserve"> </w:t>
      </w:r>
      <w:hyperlink r:id="rId47">
        <w:r>
          <w:rPr>
            <w:color w:val="146B85"/>
            <w:u w:val="single"/>
          </w:rPr>
          <w:t>[R004]</w:t>
        </w:r>
      </w:hyperlink>
      <w:r>
        <w:t xml:space="preserve"> </w:t>
      </w:r>
      <w:hyperlink r:id="rId69">
        <w:r>
          <w:rPr>
            <w:color w:val="146B85"/>
            <w:u w:val="single"/>
          </w:rPr>
          <w:t>[R025]</w:t>
        </w:r>
      </w:hyperlink>
      <w:r>
        <w:t xml:space="preserve"> </w:t>
      </w:r>
      <w:hyperlink r:id="rId64">
        <w:r>
          <w:rPr>
            <w:color w:val="146B85"/>
            <w:u w:val="single"/>
          </w:rPr>
          <w:t>[R049]</w:t>
        </w:r>
      </w:hyperlink>
      <w:r>
        <w:t xml:space="preserve"> </w:t>
      </w:r>
      <w:hyperlink r:id="rId62">
        <w:r>
          <w:rPr>
            <w:color w:val="146B85"/>
            <w:u w:val="single"/>
          </w:rPr>
          <w:t>[R051]</w:t>
        </w:r>
      </w:hyperlink>
      <w:r>
        <w:t xml:space="preserve"> </w:t>
      </w:r>
      <w:hyperlink r:id="rId34">
        <w:r>
          <w:rPr>
            <w:color w:val="146B85"/>
            <w:u w:val="single"/>
          </w:rPr>
          <w:t>[R077]</w:t>
        </w:r>
      </w:hyperlink>
    </w:p>
    <w:p>
      <w:pPr>
        <w:pStyle w:val="Heading1"/>
        <w:pageBreakBefore w:val="0"/>
      </w:pPr>
      <w:r>
        <w:t>5. Характерные правовые и источниковые тонкости</w:t>
      </w:r>
    </w:p>
    <w:p>
      <w:pPr>
        <w:pStyle w:val="Heading2"/>
      </w:pPr>
      <w:r>
        <w:t>Свободный древний текст — не свободное современное издание</w:t>
      </w:r>
    </w:p>
    <w:p>
      <w:r>
        <w:t>Для этой строки особенно существенна работа редактора: фрагменты могут быть соединены, дополнены, переатрибутированы и переведены. Доступ к защищённому критическому изданию не принят за чистую основу нового свободного перевода ToS. Это касается как тохарских реконструкций, так и современных согдийских и староуйгурских томов. Старое издание может быть полезным обходным путём, но его точность и права на конкретный цифровой объект проверяются отдельно.</w:t>
      </w:r>
      <w:r>
        <w:t xml:space="preserve"> </w:t>
      </w:r>
      <w:hyperlink r:id="rId44">
        <w:r>
          <w:rPr>
            <w:color w:val="146B85"/>
            <w:u w:val="single"/>
          </w:rPr>
          <w:t>[R022]</w:t>
        </w:r>
      </w:hyperlink>
      <w:r>
        <w:t xml:space="preserve"> </w:t>
      </w:r>
      <w:hyperlink r:id="rId71">
        <w:r>
          <w:rPr>
            <w:color w:val="146B85"/>
            <w:u w:val="single"/>
          </w:rPr>
          <w:t>[R026]</w:t>
        </w:r>
      </w:hyperlink>
      <w:r>
        <w:t xml:space="preserve"> </w:t>
      </w:r>
      <w:hyperlink r:id="rId27">
        <w:r>
          <w:rPr>
            <w:color w:val="146B85"/>
            <w:u w:val="single"/>
          </w:rPr>
          <w:t>[R057]</w:t>
        </w:r>
      </w:hyperlink>
      <w:r>
        <w:t xml:space="preserve"> </w:t>
      </w:r>
      <w:hyperlink r:id="rId60">
        <w:r>
          <w:rPr>
            <w:color w:val="146B85"/>
            <w:u w:val="single"/>
          </w:rPr>
          <w:t>[R068]</w:t>
        </w:r>
      </w:hyperlink>
    </w:p>
    <w:p>
      <w:r>
        <w:t>Public Domain Mark или NOT_IN_COPYRIGHT — не лицензия Creative Commons. Статус исторического издания в США не объявлен автоматически действующим во всех странах. Для издания Радлова–Малова и других старых томов в registry сохранены библиографическая дата, источник оцифровки и осторожная правовая оценка; безусловного MIRROR_OK по одному возрасту файла нет.</w:t>
      </w:r>
      <w:r>
        <w:t xml:space="preserve"> </w:t>
      </w:r>
      <w:hyperlink r:id="rId25">
        <w:r>
          <w:rPr>
            <w:color w:val="146B85"/>
            <w:u w:val="single"/>
          </w:rPr>
          <w:t>[R046]</w:t>
        </w:r>
      </w:hyperlink>
      <w:r>
        <w:t xml:space="preserve"> </w:t>
      </w:r>
      <w:hyperlink r:id="rId61">
        <w:r>
          <w:rPr>
            <w:color w:val="146B85"/>
            <w:u w:val="single"/>
          </w:rPr>
          <w:t>[R050]</w:t>
        </w:r>
      </w:hyperlink>
      <w:r>
        <w:t xml:space="preserve"> </w:t>
      </w:r>
      <w:hyperlink r:id="rId56">
        <w:r>
          <w:rPr>
            <w:color w:val="146B85"/>
            <w:u w:val="single"/>
          </w:rPr>
          <w:t>[R056]</w:t>
        </w:r>
      </w:hyperlink>
    </w:p>
    <w:p>
      <w:pPr>
        <w:pStyle w:val="Heading2"/>
      </w:pPr>
      <w:r>
        <w:t>Лицензия текста не переходит на изображение</w:t>
      </w:r>
    </w:p>
    <w:p>
      <w:r>
        <w:t>В издании al-Sabah открытая лицензия авторской публикации сосуществует с отдельными кредитами фотографий. У двух статей Written Monuments of the Orient указана CC BY-NC-ND 4.0, но для зеркалирования PDF целиком требуется проверить факсимиле, включённые в публикацию. Положительный тег относится к охваченному лицензией компоненту, а RIGHTS_REVIEW_REQUIRED — к непроверенным изображениям и выходу за этот объём.</w:t>
      </w:r>
      <w:r>
        <w:t xml:space="preserve"> </w:t>
      </w:r>
      <w:hyperlink r:id="rId11">
        <w:r>
          <w:rPr>
            <w:color w:val="146B85"/>
            <w:u w:val="single"/>
          </w:rPr>
          <w:t>[R010]</w:t>
        </w:r>
      </w:hyperlink>
      <w:r>
        <w:t xml:space="preserve"> </w:t>
      </w:r>
      <w:hyperlink r:id="rId70">
        <w:r>
          <w:rPr>
            <w:color w:val="146B85"/>
            <w:u w:val="single"/>
          </w:rPr>
          <w:t>[R045]</w:t>
        </w:r>
      </w:hyperlink>
      <w:r>
        <w:t xml:space="preserve"> </w:t>
      </w:r>
      <w:hyperlink r:id="rId57">
        <w:r>
          <w:rPr>
            <w:color w:val="146B85"/>
            <w:u w:val="single"/>
          </w:rPr>
          <w:t>[R058]</w:t>
        </w:r>
      </w:hyperlink>
    </w:p>
    <w:p>
      <w:r>
        <w:t>DTA разрешает доступ в научных некоммерческих целях и предписывает условия атрибуции, но передачу и воспроизведение изображений связывает с письменным разрешением. Это не эквивалент лицензии CC BY-NC. В TITUS действительное чтение транскрипции сосуществует с уведомлением о необходимости предварительного разрешения на повторную публикацию. Поэтому доступные HTML и JPEG не превращены в рекомендации зеркалирования.</w:t>
      </w:r>
      <w:r>
        <w:t xml:space="preserve"> </w:t>
      </w:r>
      <w:hyperlink r:id="rId79">
        <w:r>
          <w:rPr>
            <w:color w:val="146B85"/>
            <w:u w:val="single"/>
          </w:rPr>
          <w:t>[R001]</w:t>
        </w:r>
      </w:hyperlink>
      <w:r>
        <w:t xml:space="preserve"> </w:t>
      </w:r>
      <w:hyperlink r:id="rId12">
        <w:r>
          <w:rPr>
            <w:color w:val="146B85"/>
            <w:u w:val="single"/>
          </w:rPr>
          <w:t>[R043]</w:t>
        </w:r>
      </w:hyperlink>
      <w:r>
        <w:t xml:space="preserve"> </w:t>
      </w:r>
      <w:hyperlink r:id="rId13">
        <w:r>
          <w:rPr>
            <w:color w:val="146B85"/>
            <w:u w:val="single"/>
          </w:rPr>
          <w:t>[R044]</w:t>
        </w:r>
      </w:hyperlink>
      <w:r>
        <w:t xml:space="preserve"> </w:t>
      </w:r>
      <w:hyperlink r:id="rId80">
        <w:r>
          <w:rPr>
            <w:color w:val="146B85"/>
            <w:u w:val="single"/>
          </w:rPr>
          <w:t>[R078]</w:t>
        </w:r>
      </w:hyperlink>
      <w:r>
        <w:t xml:space="preserve"> </w:t>
      </w:r>
      <w:hyperlink r:id="rId43">
        <w:r>
          <w:rPr>
            <w:color w:val="146B85"/>
            <w:u w:val="single"/>
          </w:rPr>
          <w:t>[R079]</w:t>
        </w:r>
      </w:hyperlink>
      <w:r>
        <w:t xml:space="preserve"> </w:t>
      </w:r>
      <w:hyperlink r:id="rId21">
        <w:r>
          <w:rPr>
            <w:color w:val="146B85"/>
            <w:u w:val="single"/>
          </w:rPr>
          <w:t>[R080]</w:t>
        </w:r>
      </w:hyperlink>
    </w:p>
    <w:p>
      <w:pPr>
        <w:pStyle w:val="Heading2"/>
      </w:pPr>
      <w:r>
        <w:t>NC полезно; ND и ShareAlike — разные условия</w:t>
      </w:r>
    </w:p>
    <w:p>
      <w:r>
        <w:t>Отсутствие продаж у ToS позволяет рассматривать NC-материалы как полезную часть корпуса, но не заменяет соблюдение лицензии. У LRC требуется атрибуция и некоммерческое использование; у GRETIL добавляется ShareAlike для производного материала. Для ND-публикаций не рекомендованы свободная публикация нового перевода, переработанной транскрипции или иная адаптация без отдельного основания. Сохранение лицензии и уведомлений — часть поставки пользователям, а не необязательная подпись.</w:t>
      </w:r>
      <w:r>
        <w:t xml:space="preserve"> </w:t>
      </w:r>
      <w:hyperlink r:id="rId70">
        <w:r>
          <w:rPr>
            <w:color w:val="146B85"/>
            <w:u w:val="single"/>
          </w:rPr>
          <w:t>[R045]</w:t>
        </w:r>
      </w:hyperlink>
      <w:r>
        <w:t xml:space="preserve"> </w:t>
      </w:r>
      <w:hyperlink r:id="rId14">
        <w:r>
          <w:rPr>
            <w:color w:val="146B85"/>
            <w:u w:val="single"/>
          </w:rPr>
          <w:t>[R048]</w:t>
        </w:r>
      </w:hyperlink>
      <w:r>
        <w:t xml:space="preserve"> </w:t>
      </w:r>
      <w:hyperlink r:id="rId57">
        <w:r>
          <w:rPr>
            <w:color w:val="146B85"/>
            <w:u w:val="single"/>
          </w:rPr>
          <w:t>[R058]</w:t>
        </w:r>
      </w:hyperlink>
      <w:r>
        <w:t xml:space="preserve"> </w:t>
      </w:r>
      <w:hyperlink r:id="rId15">
        <w:r>
          <w:rPr>
            <w:color w:val="146B85"/>
            <w:u w:val="single"/>
          </w:rPr>
          <w:t>[R063]</w:t>
        </w:r>
      </w:hyperlink>
    </w:p>
    <w:p>
      <w:r>
        <w:t>У CBETA четыре включённых объекта относятся к Taishō T1–T85, для которого официальная политика отдельно описывает режим распространения. Применены CC BY-NC-SA 4.0 и требования сохранять заголовок файла; одновременно сайт содержит дополнительные формулировки о содержательных изменениях. Реестр не переименовывает SA в ND, а оставляет изменённые версии, переводы и embeddings на ручное согласование применимости условий. Это ограничение не переносится на весь китайский буддийский канон.</w:t>
      </w:r>
      <w:r>
        <w:t xml:space="preserve"> </w:t>
      </w:r>
      <w:hyperlink r:id="rId16">
        <w:r>
          <w:rPr>
            <w:color w:val="146B85"/>
            <w:u w:val="single"/>
          </w:rPr>
          <w:t>[R064]</w:t>
        </w:r>
      </w:hyperlink>
      <w:r>
        <w:t xml:space="preserve"> </w:t>
      </w:r>
      <w:hyperlink r:id="rId17">
        <w:r>
          <w:rPr>
            <w:color w:val="146B85"/>
            <w:u w:val="single"/>
          </w:rPr>
          <w:t>[R065]</w:t>
        </w:r>
      </w:hyperlink>
      <w:r>
        <w:t xml:space="preserve"> </w:t>
      </w:r>
      <w:hyperlink r:id="rId18">
        <w:r>
          <w:rPr>
            <w:color w:val="146B85"/>
            <w:u w:val="single"/>
          </w:rPr>
          <w:t>[R066]</w:t>
        </w:r>
      </w:hyperlink>
      <w:r>
        <w:t xml:space="preserve"> </w:t>
      </w:r>
      <w:hyperlink r:id="rId19">
        <w:r>
          <w:rPr>
            <w:color w:val="146B85"/>
            <w:u w:val="single"/>
          </w:rPr>
          <w:t>[R067]</w:t>
        </w:r>
      </w:hyperlink>
    </w:p>
    <w:p>
      <w:pPr>
        <w:pStyle w:val="Heading2"/>
      </w:pPr>
      <w:r>
        <w:t>Уровень проверки — часть результата</w:t>
      </w:r>
    </w:p>
    <w:p>
      <w:r>
        <w:t>В verification_status разведены: действительно открытый текст или снимок; открытая официальная карточка с объявленной загрузкой; только издательское описание; ошибка перехода; JavaScript-оболочка. free_download иногда означает официально предложенный путь, а не успешно полученный файл — это прямо пояснено в строке. Для платного тома coverage=metadata_only означает, что в исследовании просмотрена карточка, а не книга; это не утверждение о бедности содержимого издания.</w:t>
      </w:r>
    </w:p>
    <w:p>
      <w:r>
        <w:t>Показательные случаи — семь страниц вместо всей книги Тугушевой; предзаказ BT 53 вместо опубликованного тома; метка Open Access у Карабалгасуна вместо проверенного PDF; выбранные уроки LRC вместо полного тохарского корпуса. Такие различия сохраняют полезные двери доступа, но не преувеличивают покрытие.</w:t>
      </w:r>
      <w:r>
        <w:t xml:space="preserve"> </w:t>
      </w:r>
      <w:hyperlink r:id="rId30">
        <w:r>
          <w:rPr>
            <w:color w:val="146B85"/>
            <w:u w:val="single"/>
          </w:rPr>
          <w:t>[R070]</w:t>
        </w:r>
      </w:hyperlink>
      <w:r>
        <w:t xml:space="preserve"> </w:t>
      </w:r>
      <w:hyperlink r:id="rId46">
        <w:r>
          <w:rPr>
            <w:color w:val="146B85"/>
            <w:u w:val="single"/>
          </w:rPr>
          <w:t>[R024]</w:t>
        </w:r>
      </w:hyperlink>
      <w:r>
        <w:t xml:space="preserve"> </w:t>
      </w:r>
      <w:hyperlink r:id="rId66">
        <w:r>
          <w:rPr>
            <w:color w:val="146B85"/>
            <w:u w:val="single"/>
          </w:rPr>
          <w:t>[R069]</w:t>
        </w:r>
      </w:hyperlink>
      <w:r>
        <w:t xml:space="preserve"> </w:t>
      </w:r>
      <w:hyperlink r:id="rId53">
        <w:r>
          <w:rPr>
            <w:color w:val="146B85"/>
            <w:u w:val="single"/>
          </w:rPr>
          <w:t>[R060]</w:t>
        </w:r>
      </w:hyperlink>
      <w:r>
        <w:t xml:space="preserve"> </w:t>
      </w:r>
      <w:hyperlink r:id="rId54">
        <w:r>
          <w:rPr>
            <w:color w:val="146B85"/>
            <w:u w:val="single"/>
          </w:rPr>
          <w:t>[R061]</w:t>
        </w:r>
      </w:hyperlink>
      <w:r>
        <w:t xml:space="preserve"> </w:t>
      </w:r>
      <w:hyperlink r:id="rId55">
        <w:r>
          <w:rPr>
            <w:color w:val="146B85"/>
            <w:u w:val="single"/>
          </w:rPr>
          <w:t>[R062]</w:t>
        </w:r>
      </w:hyperlink>
    </w:p>
    <w:p>
      <w:pPr>
        <w:pStyle w:val="Heading1"/>
        <w:pageBreakBefore w:val="0"/>
      </w:pPr>
      <w:r>
        <w:t>6. Пробелы и дальнейший поиск</w:t>
      </w:r>
    </w:p>
    <w:p>
      <w:r>
        <w:t>Лист gaps хранит конкретный объект, причину релевантности, вид пробела, уже проверенный маршрут и следующий шаг. Ниже — приоритетная сводка, а не второй полный реестр. Работа остановлена после закрытия основных ветвей и фиксации расширений; исчерпывающая проверка всех фрагментов международных коллекций не достигнута.</w:t>
      </w:r>
    </w:p>
    <w:p>
      <w:pPr>
        <w:pStyle w:val="Heading2"/>
      </w:pPr>
      <w:r>
        <w:t>Что особенно важно не потерять</w:t>
      </w:r>
    </w:p>
    <w:tbl>
      <w:tblPr>
        <w:tblW w:type="auto" w:w="0"/>
        <w:jc w:val="center"/>
        <w:tblLayout w:type="fixed"/>
        <w:tblLook w:firstColumn="1" w:firstRow="1" w:lastColumn="0" w:lastRow="0" w:noHBand="0" w:noVBand="1" w:val="04A0"/>
      </w:tblPr>
      <w:tblGrid>
        <w:gridCol w:w="2041"/>
        <w:gridCol w:w="5669"/>
        <w:gridCol w:w="1814"/>
      </w:tblGrid>
      <w:tr>
        <w:trPr>
          <w:cantSplit/>
          <w:tblHeader/>
        </w:trPr>
        <w:tc>
          <w:tcPr>
            <w:tcW w:type="dxa" w:w="2041"/>
            <w:vAlign w:val="top"/>
            <w:shd w:fill="183D50"/>
          </w:tcPr>
          <w:p>
            <w:pPr>
              <w:spacing w:after="80" w:before="60" w:line="254" w:lineRule="auto"/>
            </w:pPr>
            <w:r>
              <w:rPr>
                <w:b/>
                <w:color w:val="FFFFFF"/>
                <w:sz w:val="20"/>
              </w:rPr>
              <w:t>Пробел</w:t>
            </w:r>
          </w:p>
        </w:tc>
        <w:tc>
          <w:tcPr>
            <w:tcW w:type="dxa" w:w="5669"/>
            <w:vAlign w:val="top"/>
            <w:shd w:fill="183D50"/>
          </w:tcPr>
          <w:p>
            <w:pPr>
              <w:spacing w:after="80" w:before="60" w:line="254" w:lineRule="auto"/>
            </w:pPr>
            <w:r>
              <w:rPr>
                <w:b/>
                <w:color w:val="FFFFFF"/>
                <w:sz w:val="20"/>
              </w:rPr>
              <w:t>Что осталось проверить</w:t>
            </w:r>
          </w:p>
        </w:tc>
        <w:tc>
          <w:tcPr>
            <w:tcW w:type="dxa" w:w="1814"/>
            <w:vAlign w:val="top"/>
            <w:shd w:fill="183D50"/>
          </w:tcPr>
          <w:p>
            <w:pPr>
              <w:spacing w:after="80" w:before="60" w:line="254" w:lineRule="auto"/>
            </w:pPr>
            <w:r>
              <w:rPr>
                <w:b/>
                <w:color w:val="FFFFFF"/>
                <w:sz w:val="20"/>
              </w:rPr>
              <w:t>Лист gaps</w:t>
            </w:r>
          </w:p>
        </w:tc>
      </w:tr>
      <w:tr>
        <w:trPr>
          <w:cantSplit/>
        </w:trPr>
        <w:tc>
          <w:tcPr>
            <w:tcW w:type="dxa" w:w="2041"/>
            <w:vAlign w:val="top"/>
            <w:shd w:fill="F1F5F7"/>
          </w:tcPr>
          <w:p>
            <w:pPr>
              <w:spacing w:after="80" w:before="60" w:line="254" w:lineRule="auto"/>
            </w:pPr>
            <w:r>
              <w:rPr>
                <w:sz w:val="20"/>
              </w:rPr>
              <w:t>Согдийское доктринальное ядро</w:t>
            </w:r>
          </w:p>
        </w:tc>
        <w:tc>
          <w:tcPr>
            <w:tcW w:type="dxa" w:w="5669"/>
            <w:vAlign w:val="top"/>
            <w:shd w:fill="F1F5F7"/>
          </w:tcPr>
          <w:p>
            <w:pPr>
              <w:spacing w:after="80" w:before="60" w:line="254" w:lineRule="auto"/>
            </w:pPr>
            <w:r>
              <w:rPr>
                <w:sz w:val="20"/>
              </w:rPr>
              <w:t>Or.8212/85; оригинал Dhūta; Vajracchedikā и Prajñāpāramitā; комментарии; P16; P4; P6–P8; дополнительные сутры.</w:t>
            </w:r>
          </w:p>
        </w:tc>
        <w:tc>
          <w:tcPr>
            <w:tcW w:type="dxa" w:w="1814"/>
            <w:vAlign w:val="top"/>
            <w:shd w:fill="F1F5F7"/>
          </w:tcPr>
          <w:p>
            <w:pPr>
              <w:spacing w:after="80" w:before="60" w:line="254" w:lineRule="auto"/>
            </w:pPr>
            <w:r>
              <w:rPr>
                <w:sz w:val="20"/>
              </w:rPr>
              <w:t>G001–G010</w:t>
            </w:r>
          </w:p>
        </w:tc>
      </w:tr>
      <w:tr>
        <w:trPr>
          <w:cantSplit/>
        </w:trPr>
        <w:tc>
          <w:tcPr>
            <w:tcW w:type="dxa" w:w="2041"/>
            <w:vAlign w:val="top"/>
            <w:shd w:fill="FFFFFF"/>
          </w:tcPr>
          <w:p>
            <w:pPr>
              <w:spacing w:after="80" w:before="60" w:line="254" w:lineRule="auto"/>
            </w:pPr>
            <w:r>
              <w:rPr>
                <w:sz w:val="20"/>
              </w:rPr>
              <w:t>Муг, бактрийский архив и медицина</w:t>
            </w:r>
          </w:p>
        </w:tc>
        <w:tc>
          <w:tcPr>
            <w:tcW w:type="dxa" w:w="5669"/>
            <w:vAlign w:val="top"/>
            <w:shd w:fill="FFFFFF"/>
          </w:tcPr>
          <w:p>
            <w:pPr>
              <w:spacing w:after="80" w:before="60" w:line="254" w:lineRule="auto"/>
            </w:pPr>
            <w:r>
              <w:rPr>
                <w:sz w:val="20"/>
              </w:rPr>
              <w:t>Полнота Муг I–II; русские переводы; Bactrian IV; критические издания Рабатака/Сурх-Котала; точный шифр Toyoq.</w:t>
            </w:r>
          </w:p>
        </w:tc>
        <w:tc>
          <w:tcPr>
            <w:tcW w:type="dxa" w:w="1814"/>
            <w:vAlign w:val="top"/>
            <w:shd w:fill="FFFFFF"/>
          </w:tcPr>
          <w:p>
            <w:pPr>
              <w:spacing w:after="80" w:before="60" w:line="254" w:lineRule="auto"/>
            </w:pPr>
            <w:r>
              <w:rPr>
                <w:sz w:val="20"/>
              </w:rPr>
              <w:t>G011–G016</w:t>
            </w:r>
          </w:p>
        </w:tc>
      </w:tr>
      <w:tr>
        <w:trPr>
          <w:cantSplit/>
        </w:trPr>
        <w:tc>
          <w:tcPr>
            <w:tcW w:type="dxa" w:w="2041"/>
            <w:vAlign w:val="top"/>
            <w:shd w:fill="F1F5F7"/>
          </w:tcPr>
          <w:p>
            <w:pPr>
              <w:spacing w:after="80" w:before="60" w:line="254" w:lineRule="auto"/>
            </w:pPr>
            <w:r>
              <w:rPr>
                <w:sz w:val="20"/>
              </w:rPr>
              <w:t>Тохарские свидетели</w:t>
            </w:r>
          </w:p>
        </w:tc>
        <w:tc>
          <w:tcPr>
            <w:tcW w:type="dxa" w:w="5669"/>
            <w:vAlign w:val="top"/>
            <w:shd w:fill="F1F5F7"/>
          </w:tcPr>
          <w:p>
            <w:pPr>
              <w:spacing w:after="80" w:before="60" w:line="254" w:lineRule="auto"/>
            </w:pPr>
            <w:r>
              <w:rPr>
                <w:sz w:val="20"/>
              </w:rPr>
              <w:t>CEToM item-level и экспорт; корпус B; линии Hami/Sängim/YQ; IOL Toch 81; Udāna-комплекс и прочие жанры.</w:t>
            </w:r>
          </w:p>
        </w:tc>
        <w:tc>
          <w:tcPr>
            <w:tcW w:type="dxa" w:w="1814"/>
            <w:vAlign w:val="top"/>
            <w:shd w:fill="F1F5F7"/>
          </w:tcPr>
          <w:p>
            <w:pPr>
              <w:spacing w:after="80" w:before="60" w:line="254" w:lineRule="auto"/>
            </w:pPr>
            <w:r>
              <w:rPr>
                <w:sz w:val="20"/>
              </w:rPr>
              <w:t>G017–G022</w:t>
            </w:r>
          </w:p>
        </w:tc>
      </w:tr>
      <w:tr>
        <w:trPr>
          <w:cantSplit/>
        </w:trPr>
        <w:tc>
          <w:tcPr>
            <w:tcW w:type="dxa" w:w="2041"/>
            <w:vAlign w:val="top"/>
            <w:shd w:fill="FFFFFF"/>
          </w:tcPr>
          <w:p>
            <w:pPr>
              <w:spacing w:after="80" w:before="60" w:line="254" w:lineRule="auto"/>
            </w:pPr>
            <w:r>
              <w:rPr>
                <w:sz w:val="20"/>
              </w:rPr>
              <w:t>Эпиграфика степи</w:t>
            </w:r>
          </w:p>
        </w:tc>
        <w:tc>
          <w:tcPr>
            <w:tcW w:type="dxa" w:w="5669"/>
            <w:vAlign w:val="top"/>
            <w:shd w:fill="FFFFFF"/>
          </w:tcPr>
          <w:p>
            <w:pPr>
              <w:spacing w:after="80" w:before="60" w:line="254" w:lineRule="auto"/>
            </w:pPr>
            <w:r>
              <w:rPr>
                <w:sz w:val="20"/>
              </w:rPr>
              <w:t>Доступный файл Карабалгасуна; Bugut, Sevrey, Khüis Tolgoi; Šine Usu, Tariat, Tes, Ongi, Küli Čor; китайские стороны; Irk Bitig.</w:t>
            </w:r>
          </w:p>
        </w:tc>
        <w:tc>
          <w:tcPr>
            <w:tcW w:type="dxa" w:w="1814"/>
            <w:vAlign w:val="top"/>
            <w:shd w:fill="FFFFFF"/>
          </w:tcPr>
          <w:p>
            <w:pPr>
              <w:spacing w:after="80" w:before="60" w:line="254" w:lineRule="auto"/>
            </w:pPr>
            <w:r>
              <w:rPr>
                <w:sz w:val="20"/>
              </w:rPr>
              <w:t>G023–G027</w:t>
            </w:r>
          </w:p>
        </w:tc>
      </w:tr>
      <w:tr>
        <w:trPr>
          <w:cantSplit/>
        </w:trPr>
        <w:tc>
          <w:tcPr>
            <w:tcW w:type="dxa" w:w="2041"/>
            <w:vAlign w:val="top"/>
            <w:shd w:fill="F1F5F7"/>
          </w:tcPr>
          <w:p>
            <w:pPr>
              <w:spacing w:after="80" w:before="60" w:line="254" w:lineRule="auto"/>
            </w:pPr>
            <w:r>
              <w:rPr>
                <w:sz w:val="20"/>
              </w:rPr>
              <w:t>Уйгурская книжная и документальная передача</w:t>
            </w:r>
          </w:p>
        </w:tc>
        <w:tc>
          <w:tcPr>
            <w:tcW w:type="dxa" w:w="5669"/>
            <w:vAlign w:val="top"/>
            <w:shd w:fill="F1F5F7"/>
          </w:tcPr>
          <w:p>
            <w:pPr>
              <w:spacing w:after="80" w:before="60" w:line="254" w:lineRule="auto"/>
            </w:pPr>
            <w:r>
              <w:rPr>
                <w:sz w:val="20"/>
              </w:rPr>
              <w:t>Точный свидетель 1687 года; DKP и колофоны; яркендские договоры; остальные главы Сюаньцзана; дополнительные BT.</w:t>
            </w:r>
          </w:p>
        </w:tc>
        <w:tc>
          <w:tcPr>
            <w:tcW w:type="dxa" w:w="1814"/>
            <w:vAlign w:val="top"/>
            <w:shd w:fill="F1F5F7"/>
          </w:tcPr>
          <w:p>
            <w:pPr>
              <w:spacing w:after="80" w:before="60" w:line="254" w:lineRule="auto"/>
            </w:pPr>
            <w:r>
              <w:rPr>
                <w:sz w:val="20"/>
              </w:rPr>
              <w:t>G028–G032</w:t>
            </w:r>
          </w:p>
        </w:tc>
      </w:tr>
      <w:tr>
        <w:trPr>
          <w:cantSplit/>
        </w:trPr>
        <w:tc>
          <w:tcPr>
            <w:tcW w:type="dxa" w:w="2041"/>
            <w:vAlign w:val="top"/>
            <w:shd w:fill="FFFFFF"/>
          </w:tcPr>
          <w:p>
            <w:pPr>
              <w:spacing w:after="80" w:before="60" w:line="254" w:lineRule="auto"/>
            </w:pPr>
            <w:r>
              <w:rPr>
                <w:sz w:val="20"/>
              </w:rPr>
              <w:t>Хронологический ореол и технические права</w:t>
            </w:r>
          </w:p>
        </w:tc>
        <w:tc>
          <w:tcPr>
            <w:tcW w:type="dxa" w:w="5669"/>
            <w:vAlign w:val="top"/>
            <w:shd w:fill="FFFFFF"/>
          </w:tcPr>
          <w:p>
            <w:pPr>
              <w:spacing w:after="80" w:before="60" w:line="254" w:lineRule="auto"/>
            </w:pPr>
            <w:r>
              <w:rPr>
                <w:sz w:val="20"/>
              </w:rPr>
              <w:t>Хотанские и монгольские связи; Qutadğu Bilig / Dīwān Luġāt al-Turk; дополнительные переводы; IIIF/OAI/bulk; CBETA.</w:t>
            </w:r>
          </w:p>
        </w:tc>
        <w:tc>
          <w:tcPr>
            <w:tcW w:type="dxa" w:w="1814"/>
            <w:vAlign w:val="top"/>
            <w:shd w:fill="FFFFFF"/>
          </w:tcPr>
          <w:p>
            <w:pPr>
              <w:spacing w:after="80" w:before="60" w:line="254" w:lineRule="auto"/>
            </w:pPr>
            <w:r>
              <w:rPr>
                <w:sz w:val="20"/>
              </w:rPr>
              <w:t>G033–G041</w:t>
            </w:r>
          </w:p>
        </w:tc>
      </w:tr>
    </w:tbl>
    <w:p>
      <w:pPr>
        <w:spacing w:after="40"/>
      </w:pPr>
    </w:p>
    <w:p>
      <w:r>
        <w:t>В первую очередь полного пригодного цифрового входа не хватает для части согдийских Prajñāpāramitā/Vajracchedikā-текстов и комментариев, Dhyāna, отдельных тохарских корпусов и основных староуйгурских критических томов. Это существенный содержательный пробел: наличие китайского прототипа или научной карточки не считается полным доступом к центральноазиатскому переводу.</w:t>
      </w:r>
    </w:p>
    <w:p>
      <w:r>
        <w:t>Зафиксированные технические препятствия включают 403 у IDP/издательских страниц, 405 у одного поставщика, 429/ошибки Toyo Bunko, JavaScript-оболочку CEToM, неоткрывшиеся PDF ИВР/BDK/Internet Archive и переход Box. Ссылки не удалены, поскольку библиографическая или институциональная опора сохраняется. Однако они не получают высокой уверенности в правах лишь по поисковому сниппету.</w:t>
      </w:r>
    </w:p>
    <w:p>
      <w:r>
        <w:t>Среди защищённых или ограниченных научных вариантов особенно важны основные Berliner Turfantexte, Bactrian Documents и современные эпиграфические издания. Out of Print и Temporarily Out of Stock не равны отсутствию произведения: следующим законным маршрутом может стать библиотечный поиск по ISBN, но фактическая выдача в данном пакете не подтверждена.</w:t>
      </w:r>
      <w:r>
        <w:t xml:space="preserve"> </w:t>
      </w:r>
      <w:hyperlink r:id="rId48">
        <w:r>
          <w:rPr>
            <w:color w:val="146B85"/>
            <w:u w:val="single"/>
          </w:rPr>
          <w:t>[R005]</w:t>
        </w:r>
      </w:hyperlink>
      <w:r>
        <w:t xml:space="preserve"> </w:t>
      </w:r>
      <w:hyperlink r:id="rId49">
        <w:r>
          <w:rPr>
            <w:color w:val="146B85"/>
            <w:u w:val="single"/>
          </w:rPr>
          <w:t>[R006]</w:t>
        </w:r>
      </w:hyperlink>
      <w:r>
        <w:t xml:space="preserve"> </w:t>
      </w:r>
      <w:hyperlink r:id="rId69">
        <w:r>
          <w:rPr>
            <w:color w:val="146B85"/>
            <w:u w:val="single"/>
          </w:rPr>
          <w:t>[R025]</w:t>
        </w:r>
      </w:hyperlink>
      <w:r>
        <w:t xml:space="preserve"> </w:t>
      </w:r>
      <w:hyperlink r:id="rId71">
        <w:r>
          <w:rPr>
            <w:color w:val="146B85"/>
            <w:u w:val="single"/>
          </w:rPr>
          <w:t>[R026]</w:t>
        </w:r>
      </w:hyperlink>
      <w:r>
        <w:t xml:space="preserve"> </w:t>
      </w:r>
      <w:hyperlink r:id="rId78">
        <w:r>
          <w:rPr>
            <w:color w:val="146B85"/>
            <w:u w:val="single"/>
          </w:rPr>
          <w:t>[R027]</w:t>
        </w:r>
      </w:hyperlink>
      <w:r>
        <w:t xml:space="preserve"> </w:t>
      </w:r>
      <w:hyperlink r:id="rId81">
        <w:r>
          <w:rPr>
            <w:color w:val="146B85"/>
            <w:u w:val="single"/>
          </w:rPr>
          <w:t>[R038]</w:t>
        </w:r>
      </w:hyperlink>
      <w:r>
        <w:t xml:space="preserve"> </w:t>
      </w:r>
      <w:hyperlink r:id="rId82">
        <w:r>
          <w:rPr>
            <w:color w:val="146B85"/>
            <w:u w:val="single"/>
          </w:rPr>
          <w:t>[R039]</w:t>
        </w:r>
      </w:hyperlink>
      <w:r>
        <w:t xml:space="preserve"> </w:t>
      </w:r>
      <w:hyperlink r:id="rId33">
        <w:r>
          <w:rPr>
            <w:color w:val="146B85"/>
            <w:u w:val="single"/>
          </w:rPr>
          <w:t>[R041]</w:t>
        </w:r>
      </w:hyperlink>
      <w:r>
        <w:t xml:space="preserve"> </w:t>
      </w:r>
      <w:hyperlink r:id="rId64">
        <w:r>
          <w:rPr>
            <w:color w:val="146B85"/>
            <w:u w:val="single"/>
          </w:rPr>
          <w:t>[R049]</w:t>
        </w:r>
      </w:hyperlink>
      <w:r>
        <w:t xml:space="preserve"> </w:t>
      </w:r>
      <w:hyperlink r:id="rId62">
        <w:r>
          <w:rPr>
            <w:color w:val="146B85"/>
            <w:u w:val="single"/>
          </w:rPr>
          <w:t>[R051]</w:t>
        </w:r>
      </w:hyperlink>
      <w:r>
        <w:t xml:space="preserve"> </w:t>
      </w:r>
      <w:hyperlink r:id="rId63">
        <w:r>
          <w:rPr>
            <w:color w:val="146B85"/>
            <w:u w:val="single"/>
          </w:rPr>
          <w:t>[R052]</w:t>
        </w:r>
      </w:hyperlink>
    </w:p>
    <w:p>
      <w:pPr>
        <w:pStyle w:val="Heading2"/>
      </w:pPr>
      <w:r>
        <w:t>Восемь приоритетных направлений</w:t>
      </w:r>
    </w:p>
    <w:p>
      <w:r>
        <w:t>1. Согдийские рукописи по шифрам. Найти предметные записи и изображения Or.8212/85 и /160, Pelliot sogdien 1, 4, 6–8, 16 и соответствующих Prajñāpāramitā/Vajracchedikā-фрагментов. Сверять название и состав по изданию, а не по одному указателю; отдельно фиксировать права BnF/BL и право на современную транскрипцию. G001–G010.</w:t>
      </w:r>
    </w:p>
    <w:p>
      <w:r>
        <w:t>2. Бактрийская документальная серия. Дойти от актуальной CII-библиографии до томов I–IV, особенно издания 2025 года; уточнить условия официальной бесплатной выдачи Khalili и конкретные права на таблицы. Сопоставить критические Рабатак/Сурх-Котал с фотографиями; поздние Tochi не вводить без идентификации версии. G014–G016.</w:t>
      </w:r>
    </w:p>
    <w:p>
      <w:r>
        <w:t>3. Тохарский предметный уровень. Проверить CEToM в обычном браузерном интерфейсе, получить устойчивые адреса свидетелей и документированные условия экспорта. Приоритет — IOL Toch 81, Maitreyasamiti/Maitrisimit, Udānavarga/Udānastotra и исторические тома B. Не считать все файлы корпуса независимыми произведениями. G017–G022.</w:t>
      </w:r>
    </w:p>
    <w:p>
      <w:r>
        <w:t>4. Многоязычная эпиграфика. Восстановить доступ к Yoshida 2020 через Toyo Bunko; отдельно найти китайскую и древнетюркскую версии Карабалгасуна. Затем Bugut, Sevrey, Khüis Tolgoi и малые тюркские надписи — с научной идентификацией, снимком, транскрипцией и лицензией каждого слоя. G023–G027.</w:t>
      </w:r>
    </w:p>
    <w:p>
      <w:r>
        <w:t>5. Староуйгурский поздний свидетель и крупные издания. Установить точный шифр рукописи Altun Yaruk 1687 года и связанных стокгольмских листов. Для DKP, колофонов, договоров и недостающих BT искать законные издательские электронные версии, библиотечные экземпляры и авторские репозитории. G028–G032.</w:t>
      </w:r>
    </w:p>
    <w:p>
      <w:r>
        <w:t>6. Комментарии и переводы-посредники. Дополнить издания Сюаньцзана, в том числе русские публикации остальных глав; проверить реальные PDF и уведомления BDK/FPMT. Для староуйгурских комментариев не переносить права китайского или санскритского текста на реконструированную уйгурскую версию. G031, G037–G038.</w:t>
      </w:r>
    </w:p>
    <w:p>
      <w:r>
        <w:t>7. Строго связанный хронологический ореол. Для хотанского Golden Light, медицинских параллелей, монгольской рецепции, венского Qutadğu Bilig и древнетюркских цитат в Dīwān Luġāt al-Turk установить конкретную передачу, свидетель или сохранённый текст. Общего культурного родства недостаточно. G033–G036.</w:t>
      </w:r>
    </w:p>
    <w:p>
      <w:r>
        <w:t>8. Компонентные права и машинные интерфейсы. Для уже идентифицированных объектов проверить IIIF-manifest, OAI-PMH и bulk-доступ вместе с применимыми terms, не угадывая endpoint. Уточнить изображения al-Sabah/WMO, дополнительные условия CBETA и границы TITUS/LRC. До этого не запускать автоматическое публичное зеркало. G039–G041.</w:t>
      </w:r>
    </w:p>
    <w:p>
      <w:pPr>
        <w:pStyle w:val="Heading2"/>
      </w:pPr>
      <w:r>
        <w:t>Непроверенные кандидаты и обновление старых указателей</w:t>
      </w:r>
    </w:p>
    <w:p>
      <w:r>
        <w:t>В gaps отдельно удержаны предполагаемые поздние Tochi, конкретные хотанские и монгольские линии, а также возможное сохранение древнетюркского материала в Dīwān Luġāt al-Turk. Это кандидаты на дальнейшее подтверждение, а не установленные первичные объекты основного registry. Для Qutadğu Bilig подтверждена книга перевода Dankoff, но не открыт венский свидетель 1439 года.</w:t>
      </w:r>
    </w:p>
    <w:p>
      <w:r>
        <w:t>Отдельный пример необходимости обновлять DR и старые справочники — согдийский материал, связанный с Lengqie shizi ji: статус «не опубликован» из обзора 2015 года нельзя автоматически повторять после библиографически подтверждённой публикации Yoshida 2018. Новая публикация отмечена в G009, но полноценный путь к её тексту ещё не закрыт.</w:t>
      </w:r>
    </w:p>
    <w:p>
      <w:pPr>
        <w:pStyle w:val="Heading1"/>
        <w:pageBreakBefore w:val="0"/>
      </w:pPr>
      <w:r>
        <w:t>7. Итоговая оценка</w:t>
      </w:r>
    </w:p>
    <w:p>
      <w:r>
        <w:t>Покрытие широкое по типам материала и пяти ветвям, но не исчерпывающее по всем первичным текстам. Для центральных памятников созданы проверяемые входы или явные записи о том, что осталось найти. Самые слабые места — открытые полные версии согдийских доктринальных текстов, систематический item-level доступ к CEToM, часть многоязычной эпиграфики и свободные полные староуйгурские критические издания.</w:t>
      </w:r>
    </w:p>
    <w:tbl>
      <w:tblPr>
        <w:tblW w:type="auto" w:w="0"/>
        <w:jc w:val="center"/>
        <w:tblLayout w:type="fixed"/>
        <w:tblLook w:firstColumn="1" w:firstRow="1" w:lastColumn="0" w:lastRow="0" w:noHBand="0" w:noVBand="1" w:val="04A0"/>
      </w:tblPr>
      <w:tblGrid>
        <w:gridCol w:w="2268"/>
        <w:gridCol w:w="7257"/>
      </w:tblGrid>
      <w:tr>
        <w:trPr>
          <w:cantSplit/>
          <w:tblHeader/>
        </w:trPr>
        <w:tc>
          <w:tcPr>
            <w:tcW w:type="dxa" w:w="2268"/>
            <w:vAlign w:val="top"/>
            <w:shd w:fill="183D50"/>
          </w:tcPr>
          <w:p>
            <w:pPr>
              <w:spacing w:after="80" w:before="60" w:line="254" w:lineRule="auto"/>
            </w:pPr>
            <w:r>
              <w:rPr>
                <w:b/>
                <w:color w:val="FFFFFF"/>
                <w:sz w:val="20"/>
              </w:rPr>
              <w:t>Измерение</w:t>
            </w:r>
          </w:p>
        </w:tc>
        <w:tc>
          <w:tcPr>
            <w:tcW w:type="dxa" w:w="7257"/>
            <w:vAlign w:val="top"/>
            <w:shd w:fill="183D50"/>
          </w:tcPr>
          <w:p>
            <w:pPr>
              <w:spacing w:after="80" w:before="60" w:line="254" w:lineRule="auto"/>
            </w:pPr>
            <w:r>
              <w:rPr>
                <w:b/>
                <w:color w:val="FFFFFF"/>
                <w:sz w:val="20"/>
              </w:rPr>
              <w:t>Оценка для передачи в ToS</w:t>
            </w:r>
          </w:p>
        </w:tc>
      </w:tr>
      <w:tr>
        <w:trPr>
          <w:cantSplit/>
        </w:trPr>
        <w:tc>
          <w:tcPr>
            <w:tcW w:type="dxa" w:w="2268"/>
            <w:vAlign w:val="top"/>
            <w:shd w:fill="F1F5F7"/>
          </w:tcPr>
          <w:p>
            <w:pPr>
              <w:spacing w:after="80" w:before="60" w:line="254" w:lineRule="auto"/>
            </w:pPr>
            <w:r>
              <w:rPr>
                <w:sz w:val="20"/>
              </w:rPr>
              <w:t>Оригиналы и факсимиле</w:t>
            </w:r>
          </w:p>
        </w:tc>
        <w:tc>
          <w:tcPr>
            <w:tcW w:type="dxa" w:w="7257"/>
            <w:vAlign w:val="top"/>
            <w:shd w:fill="F1F5F7"/>
          </w:tcPr>
          <w:p>
            <w:pPr>
              <w:spacing w:after="80" w:before="60" w:line="254" w:lineRule="auto"/>
            </w:pPr>
            <w:r>
              <w:rPr>
                <w:sz w:val="20"/>
              </w:rPr>
              <w:t>Есть настоящие изображения и транскрипции конкретных объектов; значительная часть традиции остаётся фрагментарной или доступна через научные книги.</w:t>
            </w:r>
          </w:p>
        </w:tc>
      </w:tr>
      <w:tr>
        <w:trPr>
          <w:cantSplit/>
        </w:trPr>
        <w:tc>
          <w:tcPr>
            <w:tcW w:type="dxa" w:w="2268"/>
            <w:vAlign w:val="top"/>
            <w:shd w:fill="FFFFFF"/>
          </w:tcPr>
          <w:p>
            <w:pPr>
              <w:spacing w:after="80" w:before="60" w:line="254" w:lineRule="auto"/>
            </w:pPr>
            <w:r>
              <w:rPr>
                <w:sz w:val="20"/>
              </w:rPr>
              <w:t>Переводы</w:t>
            </w:r>
          </w:p>
        </w:tc>
        <w:tc>
          <w:tcPr>
            <w:tcW w:type="dxa" w:w="7257"/>
            <w:vAlign w:val="top"/>
            <w:shd w:fill="FFFFFF"/>
          </w:tcPr>
          <w:p>
            <w:pPr>
              <w:spacing w:after="80" w:before="60" w:line="254" w:lineRule="auto"/>
            </w:pPr>
            <w:r>
              <w:rPr>
                <w:sz w:val="20"/>
              </w:rPr>
              <w:t>Есть русские, английские, французские, турецкие и другие пути; многие ограничены выбранными разделами, защищены или служат переводом прототипа, а не местной версии.</w:t>
            </w:r>
          </w:p>
        </w:tc>
      </w:tr>
      <w:tr>
        <w:trPr>
          <w:cantSplit/>
        </w:trPr>
        <w:tc>
          <w:tcPr>
            <w:tcW w:type="dxa" w:w="2268"/>
            <w:vAlign w:val="top"/>
            <w:shd w:fill="F1F5F7"/>
          </w:tcPr>
          <w:p>
            <w:pPr>
              <w:spacing w:after="80" w:before="60" w:line="254" w:lineRule="auto"/>
            </w:pPr>
            <w:r>
              <w:rPr>
                <w:sz w:val="20"/>
              </w:rPr>
              <w:t>Самый свободный слой</w:t>
            </w:r>
          </w:p>
        </w:tc>
        <w:tc>
          <w:tcPr>
            <w:tcW w:type="dxa" w:w="7257"/>
            <w:vAlign w:val="top"/>
            <w:shd w:fill="F1F5F7"/>
          </w:tcPr>
          <w:p>
            <w:pPr>
              <w:spacing w:after="80" w:before="60" w:line="254" w:lineRule="auto"/>
            </w:pPr>
            <w:r>
              <w:rPr>
                <w:sz w:val="20"/>
              </w:rPr>
              <w:t>CC BY 4.0: авторский текст двух документов al-Sabah. Для NC-проекта: GRETIL и тохарский выпуск LRC, с различными условиями.</w:t>
            </w:r>
          </w:p>
        </w:tc>
      </w:tr>
      <w:tr>
        <w:trPr>
          <w:cantSplit/>
        </w:trPr>
        <w:tc>
          <w:tcPr>
            <w:tcW w:type="dxa" w:w="2268"/>
            <w:vAlign w:val="top"/>
            <w:shd w:fill="FFFFFF"/>
          </w:tcPr>
          <w:p>
            <w:pPr>
              <w:spacing w:after="80" w:before="60" w:line="254" w:lineRule="auto"/>
            </w:pPr>
            <w:r>
              <w:rPr>
                <w:sz w:val="20"/>
              </w:rPr>
              <w:t>Главные ограничения</w:t>
            </w:r>
          </w:p>
        </w:tc>
        <w:tc>
          <w:tcPr>
            <w:tcW w:type="dxa" w:w="7257"/>
            <w:vAlign w:val="top"/>
            <w:shd w:fill="FFFFFF"/>
          </w:tcPr>
          <w:p>
            <w:pPr>
              <w:spacing w:after="80" w:before="60" w:line="254" w:lineRule="auto"/>
            </w:pPr>
            <w:r>
              <w:rPr>
                <w:sz w:val="20"/>
              </w:rPr>
              <w:t>Раздельные права на изображения; современная реконструкция и перевод; ND; дополнительные условия сайтов; платные/распроданные книги; неполная техническая проверка некоторых файлов.</w:t>
            </w:r>
          </w:p>
        </w:tc>
      </w:tr>
      <w:tr>
        <w:trPr>
          <w:cantSplit/>
        </w:trPr>
        <w:tc>
          <w:tcPr>
            <w:tcW w:type="dxa" w:w="2268"/>
            <w:vAlign w:val="top"/>
            <w:shd w:fill="F1F5F7"/>
          </w:tcPr>
          <w:p>
            <w:pPr>
              <w:spacing w:after="80" w:before="60" w:line="254" w:lineRule="auto"/>
            </w:pPr>
            <w:r>
              <w:rPr>
                <w:sz w:val="20"/>
              </w:rPr>
              <w:t>Готовность к следующему этапу</w:t>
            </w:r>
          </w:p>
        </w:tc>
        <w:tc>
          <w:tcPr>
            <w:tcW w:type="dxa" w:w="7257"/>
            <w:vAlign w:val="top"/>
            <w:shd w:fill="F1F5F7"/>
          </w:tcPr>
          <w:p>
            <w:pPr>
              <w:spacing w:after="80" w:before="60" w:line="254" w:lineRule="auto"/>
            </w:pPr>
            <w:r>
              <w:rPr>
                <w:sz w:val="20"/>
              </w:rPr>
              <w:t>Пакет пригоден как исследовательский вход для Codex: ссылки, версии, объём, права, действия и пробелы разделены. Это не готовый манифест автоматической массовой загрузки.</w:t>
            </w:r>
          </w:p>
        </w:tc>
      </w:tr>
    </w:tbl>
    <w:p>
      <w:pPr>
        <w:spacing w:after="40"/>
      </w:pPr>
    </w:p>
    <w:p>
      <w:r>
        <w:t>Практический порядок использования: сначала внешние карточки и ссылки; затем — явно разрешённые локальные копии; после этого — небольшие проверенные текстовые подкорпуса с известными лицензиями. Публичные зеркала и производные тексты формируются только после проверки rights_scope, coverage, rights_evidence_url и заметок соответствующей записи. Положительный тег вместе с RIGHTS_REVIEW_REQUIRED не является противоречием: разрешён один слой, а другой намеренно заблокирован.</w:t>
      </w:r>
    </w:p>
    <w:p>
      <w:r>
        <w:t>Исходный статус B/3 и исторический диапазон T2-50 сохранены. Ранние бактрийские надписи, Древние письма, китайские прототипы, поздняя рукопись 1687 года и современные переводы не сдвигают мастер-строку: они показывают её конкретные входящие связи, продолжения и историю сохранения. Именно разделение этих уровней делает реестр полезным для дальнейшей нормализации, не превращая его в общую историю всей Центральной Азии.</w:t>
      </w:r>
    </w:p>
    <w:p>
      <w:r>
        <w:t>Основной результат — не отбор только «свободных книг», а карта 80 законных или институционально подтверждённых маршрутов с честным уровнем проверки. Ограничения и 41 открытый вопрос сохранены рядом с найденным материалом, чтобы следующий этап начинался не с повторного поиска общих порталов, а с точных объектов и проверяемых действий.</w:t>
      </w:r>
    </w:p>
    <w:sectPr w:rsidR="00FC693F" w:rsidRPr="0006063C" w:rsidSect="00034616">
      <w:headerReference w:type="default" r:id="rId9"/>
      <w:footerReference w:type="default" r:id="rId10"/>
      <w:pgSz w:w="11906" w:h="16838"/>
      <w:pgMar w:top="1077" w:right="1162" w:bottom="1077" w:left="1162"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T2-50  •  05.09.2026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b/>
      </w:rP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rlito" w:hAnsi="Carlito" w:eastAsia="Noto Sans CJK SC"/>
      <w:color w:val="243543"/>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rlito" w:hAnsi="Carlito" w:eastAsia="Noto Sans CJK SC"/>
      <w:b/>
      <w:bCs/>
      <w:color w:val="183D5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eastAsia="Noto Sans CJK SC"/>
      <w:b/>
      <w:bCs/>
      <w:color w:val="146B85"/>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rlito" w:hAnsi="Carlito" w:eastAsia="Noto Sans CJK SC"/>
      <w:b/>
      <w:bCs/>
      <w:color w:val="183D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rlito" w:hAnsi="Carlito" w:eastAsia="Noto Sans CJK SC"/>
      <w:b/>
      <w:color w:val="183D5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Carlito" w:hAnsi="Carlito"/>
      <w:color w:val="243543"/>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rlito" w:hAnsi="Carlito" w:eastAsia="Noto Sans CJK SC"/>
      <w:b/>
      <w:bCs/>
      <w:color w:val="60768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mbridge.org/core/journals/bulletin-of-the-school-of-oriental-and-african-studies/article/two-unpublished-bactrian-documents-in-the-alsabah-collection-kuwait/47953E2D7ECDFC080FC877104C1557DC" TargetMode="External"/><Relationship Id="rId12" Type="http://schemas.openxmlformats.org/officeDocument/2006/relationships/hyperlink" Target="https://turfan.bbaw.de/dta/u/dta_u0138.html" TargetMode="External"/><Relationship Id="rId13" Type="http://schemas.openxmlformats.org/officeDocument/2006/relationships/hyperlink" Target="https://turfan.bbaw.de/dta/u/dta_u0287.html" TargetMode="External"/><Relationship Id="rId14" Type="http://schemas.openxmlformats.org/officeDocument/2006/relationships/hyperlink" Target="https://gretil.sub.uni-goettingen.de/gretil/corpustei/transformations/html/sa_suvarNaprabhAsasUtra.htm" TargetMode="External"/><Relationship Id="rId15" Type="http://schemas.openxmlformats.org/officeDocument/2006/relationships/hyperlink" Target="https://github.com/LingResCtr/dead-languages-corpus/tree/main/final/dead-languages-corpus-20221117" TargetMode="External"/><Relationship Id="rId16" Type="http://schemas.openxmlformats.org/officeDocument/2006/relationships/hyperlink" Target="https://github.com/cbeta-org/xml-p5/blob/master/T/T16/T16n0665.xml" TargetMode="External"/><Relationship Id="rId17" Type="http://schemas.openxmlformats.org/officeDocument/2006/relationships/hyperlink" Target="https://github.com/cbeta-org/xml-p5/blob/master/T/T15/T15n0643.xml" TargetMode="External"/><Relationship Id="rId18" Type="http://schemas.openxmlformats.org/officeDocument/2006/relationships/hyperlink" Target="https://github.com/cbeta-org/xml-p5/blob/master/T/T85/T85n2886.xml" TargetMode="External"/><Relationship Id="rId19" Type="http://schemas.openxmlformats.org/officeDocument/2006/relationships/hyperlink" Target="https://github.com/cbeta-org/xml-p5/blob/master/T/T85/T85n2881.xml" TargetMode="External"/><Relationship Id="rId20" Type="http://schemas.openxmlformats.org/officeDocument/2006/relationships/hyperlink" Target="https://www.bdkamerica.org/product/a-biography-of-the-tripitaka-master-of-the-great-cien-monastery/" TargetMode="External"/><Relationship Id="rId21" Type="http://schemas.openxmlformats.org/officeDocument/2006/relationships/hyperlink" Target="https://titus.uni-frankfurt.de/texte/etcs/toch/tocha/tocha406.htm" TargetMode="External"/><Relationship Id="rId22" Type="http://schemas.openxmlformats.org/officeDocument/2006/relationships/hyperlink" Target="https://gengo.l.u-tokyo.ac.jp/hkum/bactrian.html" TargetMode="External"/><Relationship Id="rId23" Type="http://schemas.openxmlformats.org/officeDocument/2006/relationships/hyperlink" Target="https://depts.washington.edu/silkroad/texts/sogdlet.html" TargetMode="External"/><Relationship Id="rId24" Type="http://schemas.openxmlformats.org/officeDocument/2006/relationships/hyperlink" Target="https://www.soas.ac.uk/sites/default/files/2026-04/CII%20publications%20Parts%201-4%20%26%20Suppl.pdf#page=2" TargetMode="External"/><Relationship Id="rId25" Type="http://schemas.openxmlformats.org/officeDocument/2006/relationships/hyperlink" Target="https://catalog.hathitrust.org/Record/012156068" TargetMode="External"/><Relationship Id="rId26" Type="http://schemas.openxmlformats.org/officeDocument/2006/relationships/hyperlink" Target="https://repository.crossasia.org/receive/crossasia_mods_00000735" TargetMode="External"/><Relationship Id="rId27" Type="http://schemas.openxmlformats.org/officeDocument/2006/relationships/hyperlink" Target="https://real.mtak.hu/107542/" TargetMode="External"/><Relationship Id="rId28" Type="http://schemas.openxmlformats.org/officeDocument/2006/relationships/hyperlink" Target="https://www.brepols.net/products/IS-9782503541570-1" TargetMode="External"/><Relationship Id="rId29" Type="http://schemas.openxmlformats.org/officeDocument/2006/relationships/hyperlink" Target="https://www.brepols.net/products/IS-9782503526218-1" TargetMode="External"/><Relationship Id="rId30" Type="http://schemas.openxmlformats.org/officeDocument/2006/relationships/hyperlink" Target="https://www.orientalstudies.ru/rus/index.php?Itemid=75&amp;option=com_publications&amp;pub=547" TargetMode="External"/><Relationship Id="rId31" Type="http://schemas.openxmlformats.org/officeDocument/2006/relationships/hyperlink" Target="https://www.orientalstudies.ru/rus/index.php?Itemid=75&amp;option=com_publications&amp;pub=4989" TargetMode="External"/><Relationship Id="rId32" Type="http://schemas.openxmlformats.org/officeDocument/2006/relationships/hyperlink" Target="https://khalilicollections.org/portfolio/arabic-documents-from-early-islamic-khurasan/" TargetMode="External"/><Relationship Id="rId33" Type="http://schemas.openxmlformats.org/officeDocument/2006/relationships/hyperlink" Target="https://www.brepols.net/products/IS-9782503584171-1" TargetMode="External"/><Relationship Id="rId34" Type="http://schemas.openxmlformats.org/officeDocument/2006/relationships/hyperlink" Target="https://search.worldcat.org/title/Wisdom-of-royal-glory-(Kutadgu-bilig)-a-Turko-islamic-mirror-for-princes/oclc/470133074" TargetMode="External"/><Relationship Id="rId35" Type="http://schemas.openxmlformats.org/officeDocument/2006/relationships/hyperlink" Target="https://shop.fpmt.org/The-King-of-Glorious-Sutras-called-the-Exalted-Sublime-Golden-Light-eBook-PDF_p_2348.html" TargetMode="External"/><Relationship Id="rId36" Type="http://schemas.openxmlformats.org/officeDocument/2006/relationships/hyperlink" Target="https://shop.fpmt.org/The-King-of-Glorious-Sutras-called-the-Exalted-Sublime-Golden-Light-PDF-Russian_p_3647.html" TargetMode="External"/><Relationship Id="rId37" Type="http://schemas.openxmlformats.org/officeDocument/2006/relationships/hyperlink" Target="https://shop.fpmt.org/The-King-of-Glorious-Sutras-called-the-Exalted-Sublime-Golden-Light-PDF-Mongolian_p_3649.html" TargetMode="External"/><Relationship Id="rId38" Type="http://schemas.openxmlformats.org/officeDocument/2006/relationships/hyperlink" Target="https://shop.fpmt.org/The-King-of-Glorious-Sutras-called-the-Exalted-Sublime-Golden-Light-PDF-Tibetan_p_3650.html" TargetMode="External"/><Relationship Id="rId39" Type="http://schemas.openxmlformats.org/officeDocument/2006/relationships/hyperlink" Target="https://www.orientalstudies.ru/rus/index.php?Itemid=75&amp;option=com_publications&amp;pub=963" TargetMode="External"/><Relationship Id="rId40" Type="http://schemas.openxmlformats.org/officeDocument/2006/relationships/hyperlink" Target="https://www.orientalstudies.ru/rus/index.php?Itemid=75&amp;option=com_publications&amp;pub=3073" TargetMode="External"/><Relationship Id="rId41" Type="http://schemas.openxmlformats.org/officeDocument/2006/relationships/hyperlink" Target="https://www.orientalstudies.ru/rus/index.php?Itemid=75&amp;option=com_publications&amp;pub=589" TargetMode="External"/><Relationship Id="rId42" Type="http://schemas.openxmlformats.org/officeDocument/2006/relationships/hyperlink" Target="https://iiif.biblissima.fr/collections/manifest/d518b0d5d7699316918bc75e8b0a7d3ed23a960e" TargetMode="External"/><Relationship Id="rId43" Type="http://schemas.openxmlformats.org/officeDocument/2006/relationships/hyperlink" Target="https://titus.uni-frankfurt.de/texte/etcs/iran/miran/sogd/sogdnswc/sogdn229.htm" TargetMode="External"/><Relationship Id="rId44" Type="http://schemas.openxmlformats.org/officeDocument/2006/relationships/hyperlink" Target="https://brill.com/edcollbook/title/1934?language=en" TargetMode="External"/><Relationship Id="rId45" Type="http://schemas.openxmlformats.org/officeDocument/2006/relationships/hyperlink" Target="https://idp.bl.uk/collection/373CC3D28B58495C9C350A14F63D8FA1/" TargetMode="External"/><Relationship Id="rId46" Type="http://schemas.openxmlformats.org/officeDocument/2006/relationships/hyperlink" Target="https://www.brepols.net/products/IS-9782503612393-1" TargetMode="External"/><Relationship Id="rId47" Type="http://schemas.openxmlformats.org/officeDocument/2006/relationships/hyperlink" Target="https://www.soas.ac.uk/corpus-inscriptionum-iranicarum" TargetMode="External"/><Relationship Id="rId48" Type="http://schemas.openxmlformats.org/officeDocument/2006/relationships/hyperlink" Target="https://khalilicollections.org/portfolio/bactrian-documents-from-northern-afghanistan/" TargetMode="External"/><Relationship Id="rId49" Type="http://schemas.openxmlformats.org/officeDocument/2006/relationships/hyperlink" Target="https://khalilicollections.org/portfolio/bactrian-documents-from-northern-afghanistan-part-ii/" TargetMode="External"/><Relationship Id="rId50" Type="http://schemas.openxmlformats.org/officeDocument/2006/relationships/hyperlink" Target="https://khalilicollections.org/portfolio/bactrian-documents-from-northern-afghanistan-part-iii/" TargetMode="External"/><Relationship Id="rId51" Type="http://schemas.openxmlformats.org/officeDocument/2006/relationships/hyperlink" Target="https://www.soas.ac.uk/sites/default/files/2026-04/CII%20publications%20Parts%201-4%20%26%20Suppl.pdf#page=3" TargetMode="External"/><Relationship Id="rId52" Type="http://schemas.openxmlformats.org/officeDocument/2006/relationships/hyperlink" Target="https://khalilicollections.org/collections/islamic-art/khalili-collection-islamic-art-contract-for-the-lease-of-a-vineyard-doc5/" TargetMode="External"/><Relationship Id="rId53" Type="http://schemas.openxmlformats.org/officeDocument/2006/relationships/hyperlink" Target="https://lrc.la.utexas.edu/eieol/tokol/30" TargetMode="External"/><Relationship Id="rId54" Type="http://schemas.openxmlformats.org/officeDocument/2006/relationships/hyperlink" Target="https://lrc.la.utexas.edu/eieol/tokol/10" TargetMode="External"/><Relationship Id="rId55" Type="http://schemas.openxmlformats.org/officeDocument/2006/relationships/hyperlink" Target="https://lrc.la.utexas.edu/eieol/tokol/60" TargetMode="External"/><Relationship Id="rId56" Type="http://schemas.openxmlformats.org/officeDocument/2006/relationships/hyperlink" Target="https://archive.org/details/tocharischesprac01sieg" TargetMode="External"/><Relationship Id="rId57" Type="http://schemas.openxmlformats.org/officeDocument/2006/relationships/hyperlink" Target="https://journals.eco-vector.com/2410-0145/article/view/25893" TargetMode="External"/><Relationship Id="rId58" Type="http://schemas.openxmlformats.org/officeDocument/2006/relationships/hyperlink" Target="https://cetom.univie.ac.at/" TargetMode="External"/><Relationship Id="rId59" Type="http://schemas.openxmlformats.org/officeDocument/2006/relationships/hyperlink" Target="https://www.cambridge.org/core/journals/bulletin-of-the-school-of-oriental-and-african-studies/article/three-languages-on-one-leaf-on-iol-toch-81-with-special-regard-to-the-turkic-part/2E5395F7246EF01577F896C546F92386" TargetMode="External"/><Relationship Id="rId60" Type="http://schemas.openxmlformats.org/officeDocument/2006/relationships/hyperlink" Target="https://www.cambridge.org/core/journals/bulletin-of-the-school-of-oriental-and-african-studies/article/sanskrit-udanavarga-and-the-tocharian-b-udanastotra-a-window-on-the-relationship-between-religious-and-popular-language-on-the-northern-silk-road1/DC4D97CCE49F2A62C1FFF95E75D96C6F" TargetMode="External"/><Relationship Id="rId61" Type="http://schemas.openxmlformats.org/officeDocument/2006/relationships/hyperlink" Target="https://archive.org/details/inscriptionsdel00thomgoog" TargetMode="External"/><Relationship Id="rId62" Type="http://schemas.openxmlformats.org/officeDocument/2006/relationships/hyperlink" Target="https://bilgesuyayincilik.com.tr/kitap/orhon-yazitlari-kul-tigin-bilge-kagan-tunyukuk/" TargetMode="External"/><Relationship Id="rId63" Type="http://schemas.openxmlformats.org/officeDocument/2006/relationships/hyperlink" Target="https://bilgesuyayincilik.com.tr/kitap/orhon-uygur-hanligi-donemi-mogolistandaki-eski-turk-yazitlari/" TargetMode="External"/><Relationship Id="rId64" Type="http://schemas.openxmlformats.org/officeDocument/2006/relationships/hyperlink" Target="https://www.harrassowitz-verlag.de/titel_2487.ahtml" TargetMode="External"/><Relationship Id="rId65" Type="http://schemas.openxmlformats.org/officeDocument/2006/relationships/hyperlink" Target="https://www.cambridge.org/core/journals/bulletin-of-the-school-of-oriental-and-african-studies/article/the-tonyukuk-inscription/9B0E29558FEBDDB2BA3DBA5EBF312168" TargetMode="External"/><Relationship Id="rId66" Type="http://schemas.openxmlformats.org/officeDocument/2006/relationships/hyperlink" Target="https://toyo-bunko.repo.nii.ac.jp/records/7313" TargetMode="External"/><Relationship Id="rId67" Type="http://schemas.openxmlformats.org/officeDocument/2006/relationships/hyperlink" Target="https://www.brepols.net/products/IS-9782503505145-1" TargetMode="External"/><Relationship Id="rId68" Type="http://schemas.openxmlformats.org/officeDocument/2006/relationships/hyperlink" Target="https://www.brepols.net/products/IS-9782503513140-1" TargetMode="External"/><Relationship Id="rId69" Type="http://schemas.openxmlformats.org/officeDocument/2006/relationships/hyperlink" Target="https://www.brepols.net/products/ON-M1-F1-05720090100-1" TargetMode="External"/><Relationship Id="rId70" Type="http://schemas.openxmlformats.org/officeDocument/2006/relationships/hyperlink" Target="https://journals.eco-vector.com/2410-0145/article/view/25763" TargetMode="External"/><Relationship Id="rId71" Type="http://schemas.openxmlformats.org/officeDocument/2006/relationships/hyperlink" Target="https://www.brepols.net/products/IS-9782503567761-1" TargetMode="External"/><Relationship Id="rId72" Type="http://schemas.openxmlformats.org/officeDocument/2006/relationships/hyperlink" Target="https://www.brepols.net/products/IS-9782503565408-1" TargetMode="External"/><Relationship Id="rId73" Type="http://schemas.openxmlformats.org/officeDocument/2006/relationships/hyperlink" Target="https://www.brepols.net/products/IS-9782503602349-1" TargetMode="External"/><Relationship Id="rId74" Type="http://schemas.openxmlformats.org/officeDocument/2006/relationships/hyperlink" Target="https://www.brepols.net/products/IS-9782503584188-1" TargetMode="External"/><Relationship Id="rId75" Type="http://schemas.openxmlformats.org/officeDocument/2006/relationships/hyperlink" Target="https://www.brepols.net/products/IS-9782503528885-1" TargetMode="External"/><Relationship Id="rId76" Type="http://schemas.openxmlformats.org/officeDocument/2006/relationships/hyperlink" Target="https://www.brepols.net/products/IS-9782503587080-1" TargetMode="External"/><Relationship Id="rId77" Type="http://schemas.openxmlformats.org/officeDocument/2006/relationships/hyperlink" Target="https://www.brepols.net/products/IS-9782503604893-1" TargetMode="External"/><Relationship Id="rId78" Type="http://schemas.openxmlformats.org/officeDocument/2006/relationships/hyperlink" Target="https://www.brepols.net/products/IS-9782503528021-1" TargetMode="External"/><Relationship Id="rId79" Type="http://schemas.openxmlformats.org/officeDocument/2006/relationships/hyperlink" Target="https://turfan.bbaw.de/dta-i.html" TargetMode="External"/><Relationship Id="rId80" Type="http://schemas.openxmlformats.org/officeDocument/2006/relationships/hyperlink" Target="https://titus.uni-frankfurt.de/texte/texte2.htm" TargetMode="External"/><Relationship Id="rId81" Type="http://schemas.openxmlformats.org/officeDocument/2006/relationships/hyperlink" Target="https://www.brepols.net/products/IS-9782503584195-1" TargetMode="External"/><Relationship Id="rId82" Type="http://schemas.openxmlformats.org/officeDocument/2006/relationships/hyperlink" Target="https://www.brepols.net/products/IS-97825035787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T2-50</dc:title>
  <dc:subject>Центральноазиатские и древнетюркские текстовые миры</dc:subject>
  <dc:creator>ToS / Древо Софии</dc:creator>
  <cp:keywords>ToS, T2-50, corpus, rights, Sogdian, Bactrian, Tocharian, Old Uyghur, Orkhon</cp:keywords>
  <dc:description>generated by python-docx</dc:description>
  <cp:lastModifiedBy/>
  <cp:revision>1</cp:revision>
  <dcterms:created xsi:type="dcterms:W3CDTF">2013-12-23T23:15:00Z</dcterms:created>
  <dcterms:modified xsi:type="dcterms:W3CDTF">2013-12-23T23:15:00Z</dcterms:modified>
  <cp:category/>
</cp:coreProperties>
</file>