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  <w:jc w:val="center"/>
      </w:pPr>
      <w:r>
        <w:rPr>
          <w:color w:val="D9A441"/>
        </w:rPr>
        <w:t>ToS / ДРЕВО СОФИИ</w:t>
      </w:r>
    </w:p>
    <w:p>
      <w:pPr>
        <w:pStyle w:val="Title"/>
        <w:jc w:val="center"/>
      </w:pPr>
      <w:r>
        <w:t>ToS Corpus &amp; Rights Registry</w:t>
      </w:r>
    </w:p>
    <w:p>
      <w:pPr>
        <w:jc w:val="center"/>
      </w:pPr>
      <w:r>
        <w:rPr>
          <w:rFonts w:ascii="Noto Serif" w:hAnsi="Noto Serif"/>
          <w:b/>
          <w:color w:val="0B4F53"/>
          <w:sz w:val="40"/>
        </w:rPr>
        <w:t>A44 · Куш–Мерое</w:t>
      </w:r>
    </w:p>
    <w:p>
      <w:pPr>
        <w:pStyle w:val="Subtitle"/>
        <w:jc w:val="center"/>
      </w:pPr>
      <w:r>
        <w:t>мероитская письменность · царские и погребальные надписи · законные пути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D6DEDE"/>
              <w:left w:val="single" w:sz="8" w:color="D6DEDE"/>
              <w:bottom w:val="single" w:sz="8" w:color="D6DEDE"/>
              <w:right w:val="single" w:sz="8" w:color="D6DEDE"/>
            </w:tcBorders>
            <w:shd w:fill="F8EED1"/>
          </w:tcPr>
          <w:p>
            <w:pPr>
              <w:jc w:val="center"/>
            </w:pPr>
            <w:r>
              <w:rPr>
                <w:b/>
                <w:color w:val="607075"/>
                <w:sz w:val="15"/>
              </w:rPr>
              <w:t>СТАТУС УЗЛА</w:t>
            </w:r>
          </w:p>
          <w:p>
            <w:pPr>
              <w:jc w:val="center"/>
            </w:pPr>
            <w:r>
              <w:rPr>
                <w:b/>
                <w:color w:val="17363A"/>
                <w:sz w:val="22"/>
              </w:rPr>
              <w:t>C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D6DEDE"/>
              <w:left w:val="single" w:sz="8" w:color="D6DEDE"/>
              <w:bottom w:val="single" w:sz="8" w:color="D6DEDE"/>
              <w:right w:val="single" w:sz="8" w:color="D6DEDE"/>
            </w:tcBorders>
            <w:shd w:fill="EAF4F2"/>
          </w:tcPr>
          <w:p>
            <w:pPr>
              <w:jc w:val="center"/>
            </w:pPr>
            <w:r>
              <w:rPr>
                <w:b/>
                <w:color w:val="607075"/>
                <w:sz w:val="15"/>
              </w:rPr>
              <w:t>ИСТОРИЧЕСКОЕ ЯДРО</w:t>
            </w:r>
          </w:p>
          <w:p>
            <w:pPr>
              <w:jc w:val="center"/>
            </w:pPr>
            <w:r>
              <w:rPr>
                <w:b/>
                <w:color w:val="17363A"/>
                <w:sz w:val="22"/>
              </w:rPr>
              <w:t>ок. 300 до н. э. — 350 н. э.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D6DEDE"/>
              <w:left w:val="single" w:sz="8" w:color="D6DEDE"/>
              <w:bottom w:val="single" w:sz="8" w:color="D6DEDE"/>
              <w:right w:val="single" w:sz="8" w:color="D6DEDE"/>
            </w:tcBorders>
            <w:shd w:fill="F3F5F5"/>
          </w:tcPr>
          <w:p>
            <w:pPr>
              <w:jc w:val="center"/>
            </w:pPr>
            <w:r>
              <w:rPr>
                <w:b/>
                <w:color w:val="607075"/>
                <w:sz w:val="15"/>
              </w:rPr>
              <w:t>ПРОВЕРЕНО</w:t>
            </w:r>
          </w:p>
          <w:p>
            <w:pPr>
              <w:jc w:val="center"/>
            </w:pPr>
            <w:r>
              <w:rPr>
                <w:b/>
                <w:color w:val="17363A"/>
                <w:sz w:val="22"/>
              </w:rPr>
              <w:t>4 сентября 2026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268"/>
            <w:shd w:fill="17363A"/>
            <w:tcMar>
              <w:top w:w="135" w:type="dxa"/>
              <w:start w:w="110" w:type="dxa"/>
              <w:bottom w:w="130" w:type="dxa"/>
              <w:end w:w="110" w:type="dxa"/>
            </w:tcMar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116</w:t>
            </w:r>
          </w:p>
          <w:p>
            <w:pPr>
              <w:jc w:val="center"/>
            </w:pPr>
            <w:r>
              <w:rPr>
                <w:b/>
                <w:color w:val="EAF4F2"/>
                <w:sz w:val="15"/>
              </w:rPr>
              <w:t>способов доступа</w:t>
            </w:r>
          </w:p>
        </w:tc>
        <w:tc>
          <w:tcPr>
            <w:tcW w:type="dxa" w:w="2268"/>
            <w:shd w:fill="EAF4F2"/>
            <w:tcMar>
              <w:top w:w="135" w:type="dxa"/>
              <w:start w:w="110" w:type="dxa"/>
              <w:bottom w:w="130" w:type="dxa"/>
              <w:end w:w="110" w:type="dxa"/>
            </w:tcMar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</w:tcPr>
          <w:p>
            <w:pPr>
              <w:jc w:val="center"/>
            </w:pPr>
            <w:r>
              <w:rPr>
                <w:b/>
                <w:color w:val="17363A"/>
                <w:sz w:val="36"/>
              </w:rPr>
              <w:t>≈104</w:t>
            </w:r>
          </w:p>
          <w:p>
            <w:pPr>
              <w:jc w:val="center"/>
            </w:pPr>
            <w:r>
              <w:rPr>
                <w:b/>
                <w:color w:val="607075"/>
                <w:sz w:val="15"/>
              </w:rPr>
              <w:t>различимых целей</w:t>
            </w:r>
          </w:p>
        </w:tc>
        <w:tc>
          <w:tcPr>
            <w:tcW w:type="dxa" w:w="2268"/>
            <w:shd w:fill="EAF4F2"/>
            <w:tcMar>
              <w:top w:w="135" w:type="dxa"/>
              <w:start w:w="110" w:type="dxa"/>
              <w:bottom w:w="130" w:type="dxa"/>
              <w:end w:w="110" w:type="dxa"/>
            </w:tcMar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</w:tcPr>
          <w:p>
            <w:pPr>
              <w:jc w:val="center"/>
            </w:pPr>
            <w:r>
              <w:rPr>
                <w:b/>
                <w:color w:val="17363A"/>
                <w:sz w:val="36"/>
              </w:rPr>
              <w:t>51</w:t>
            </w:r>
          </w:p>
          <w:p>
            <w:pPr>
              <w:jc w:val="center"/>
            </w:pPr>
            <w:r>
              <w:rPr>
                <w:b/>
                <w:color w:val="607075"/>
                <w:sz w:val="15"/>
              </w:rPr>
              <w:t>репозиториев / платформ</w:t>
            </w:r>
          </w:p>
        </w:tc>
        <w:tc>
          <w:tcPr>
            <w:tcW w:type="dxa" w:w="2268"/>
            <w:shd w:fill="EAF4F2"/>
            <w:tcMar>
              <w:top w:w="135" w:type="dxa"/>
              <w:start w:w="110" w:type="dxa"/>
              <w:bottom w:w="130" w:type="dxa"/>
              <w:end w:w="110" w:type="dxa"/>
            </w:tcMar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</w:tcPr>
          <w:p>
            <w:pPr>
              <w:jc w:val="center"/>
            </w:pPr>
            <w:r>
              <w:rPr>
                <w:b/>
                <w:color w:val="17363A"/>
                <w:sz w:val="36"/>
              </w:rPr>
              <w:t>18</w:t>
            </w:r>
          </w:p>
          <w:p>
            <w:pPr>
              <w:jc w:val="center"/>
            </w:pPr>
            <w:r>
              <w:rPr>
                <w:b/>
                <w:color w:val="607075"/>
                <w:sz w:val="15"/>
              </w:rPr>
              <w:t>зафиксированных пробелов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41"/>
      </w:tblGrid>
      <w:tr>
        <w:tc>
          <w:tcPr>
            <w:tcW w:type="dxa" w:w="4989"/>
            <w:shd w:fill="D9A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9"/>
            <w:shd w:fill="F3F5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3A"/>
                <w:sz w:val="21"/>
              </w:rPr>
              <w:t>Что это за пакет</w:t>
            </w:r>
          </w:p>
          <w:p>
            <w:pPr>
              <w:spacing w:after="0"/>
            </w:pPr>
            <w:r>
              <w:t>Отдельный исследовательский слой к готовому ToS Deep Research: карта произведений, свидетелей, изданий, цифровых объектов и прав. Исторический очерк и мастер-строка A44 не редактировались.</w:t>
            </w:r>
          </w:p>
        </w:tc>
      </w:tr>
    </w:tbl>
    <w:p>
      <w:pPr>
        <w:spacing w:before="320"/>
        <w:jc w:val="center"/>
      </w:pPr>
      <w:r>
        <w:rPr>
          <w:b/>
          <w:color w:val="607075"/>
          <w:sz w:val="16"/>
        </w:rPr>
        <w:t>COMPANION FILE</w:t>
      </w:r>
    </w:p>
    <w:p>
      <w:pPr>
        <w:jc w:val="center"/>
      </w:pPr>
      <w:r>
        <w:rPr>
          <w:rFonts w:ascii="Noto Sans" w:hAnsi="Noto Sans"/>
          <w:b/>
          <w:color w:val="0B4F53"/>
          <w:sz w:val="21"/>
        </w:rPr>
        <w:t>ToS_Corpus_Rights_A44_registry.xlsx</w:t>
      </w:r>
    </w:p>
    <w:p>
      <w:r>
        <w:br w:type="page"/>
      </w:r>
    </w:p>
    <w:p>
      <w:pPr>
        <w:pStyle w:val="Heading1"/>
        <w:pBdr>
          <w:bottom w:val="single" w:sz="8" w:space="4" w:color="D9A441"/>
        </w:pBdr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ID и название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A44 — Куш–Мерое (мероитская письменность; царские и погребальные надписи)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Статус мастер-строки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8EED1"/>
            <w:tcBorders>
              <w:bottom w:val="single" w:sz="4" w:color="D6DEDE"/>
            </w:tcBorders>
          </w:tcPr>
          <w:p>
            <w:r>
              <w:t>C — письменность читается фонетически, но язык и содержание многих текстов остаются поняты лишь частично.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Историческое ядро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ок. 300 до н. э. — 350 н. э.; хронологический ореол расширен назад к Напате и вперёд к древненубийской письменной среде.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Исходный DR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ToS Deep Research_ A44 — Африка к югу от Сахары — Куш–Мерое(1).docx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Дата проверки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2026-09-04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Языки поиска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русский, английский, французский, немецкий, итальянский, польский; дополнительно — варианты транслитерации, REM-номера, музейные инвентарные номера и Unicode-коды.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Ядро корпуса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REM I–III; царские и исторические стелы; погребальные стелы и жертвенники; храмовые надписи и граффити; тексты Каср-Ибрима, Фараса, Хамадаба, Каранога/Шаблула, Мусавварата и Мероэ.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Типы объектов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work, corpus, physical_witness, translation_or_edition, digital_text_or_facsimile, dataset_or_api, digital_project_or_catalogue, secondary_navigation.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Классы источников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официальные страницы предметов и изданий; университетские и национальные репозитории; музейные каталоги; академические журналы; исторические сканы; издатели; Unicode; библиотечная выдача и каталоги.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  <w:tcBorders>
              <w:bottom w:val="single" w:sz="4" w:color="D6DEDE"/>
            </w:tcBorders>
          </w:tcPr>
          <w:p>
            <w:r>
              <w:rPr>
                <w:b/>
                <w:color w:val="17363A"/>
                <w:sz w:val="17"/>
              </w:rPr>
              <w:t>Слабые навигационные находки</w:t>
            </w:r>
          </w:p>
        </w:tc>
        <w:tc>
          <w:tcPr>
            <w:tcW w:type="dxa" w:w="6803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  <w:tcBorders>
              <w:bottom w:val="single" w:sz="4" w:color="D6DEDE"/>
            </w:tcBorders>
          </w:tcPr>
          <w:p>
            <w:r>
              <w:t>Да. Неподтверждённые кандидаты не помещались в основной registry; они вынесены на лист gaps. Всего в gaps — 18 записей.</w:t>
            </w:r>
          </w:p>
        </w:tc>
      </w:tr>
    </w:tbl>
    <w:p>
      <w:pPr>
        <w:pStyle w:val="SourceNote"/>
      </w:pPr>
      <w:r>
        <w:rPr>
          <w:b/>
        </w:rPr>
        <w:t xml:space="preserve">Принцип доказательности: </w:t>
      </w:r>
      <w:r>
        <w:t>страница доступа и страница доказательства прав разделены. Лицензия метаданных, кода или одной фотографии не переносилась на весь проект, все изображения или современное критическое издание.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41"/>
      </w:tblGrid>
      <w:tr>
        <w:tc>
          <w:tcPr>
            <w:tcW w:type="dxa" w:w="4989"/>
            <w:shd w:fill="D9A44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9"/>
            <w:shd w:fill="F8EED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3A"/>
                <w:sz w:val="21"/>
              </w:rPr>
              <w:t>Граница статуса C</w:t>
            </w:r>
          </w:p>
          <w:p>
            <w:pPr>
              <w:spacing w:after="0"/>
            </w:pPr>
            <w:r>
              <w:t>В реестре не конструируются несуществующие “произведения” или философские доктрины. Для не полностью понятого языка центральными единицами становятся корпусные номера, физические свидетели, факсимиле, научные транскрипции, каталоги знаков и проверяемые маршруты доступа.</w:t>
            </w:r>
          </w:p>
        </w:tc>
      </w:tr>
    </w:tbl>
    <w:p>
      <w:pPr>
        <w:pStyle w:val="Heading1"/>
        <w:pBdr>
          <w:bottom w:val="single" w:sz="8" w:space="4" w:color="D9A441"/>
        </w:pBdr>
      </w:pPr>
      <w:r>
        <w:t>2. Охват корпуса</w:t>
      </w:r>
    </w:p>
    <w:p>
      <w:r>
        <w:rPr>
          <w:b/>
        </w:rPr>
        <w:t xml:space="preserve">Масштаб пакета. </w:t>
      </w:r>
      <w:r>
        <w:t>В основном листе собрано 116 практически отличимых способов доступа. После консервативного объединения очевидных альтернативных маршрутов это соответствует примерно 104 различимым корпусам, изданиям, свидетелям, цифровым объектам и инфраструктурным целям. Это не число всех известных мероитских надписей: REM охватывает более тысячи номеров, а музейные и полевые корпуса продолжают пополняться.</w:t>
      </w:r>
    </w:p>
    <w:p>
      <w:pPr>
        <w:pStyle w:val="Heading2"/>
      </w:pPr>
      <w:r>
        <w:t>2.1. Ядро, извлечённое из исходного DR</w:t>
      </w:r>
    </w:p>
    <w:p>
      <w:pPr>
        <w:pStyle w:val="ListBullet"/>
        <w:ind w:left="255" w:hanging="142"/>
      </w:pPr>
      <w:r>
        <w:t>Répertoire d’Épigraphie Méroïtique (REM I–III) как базовая система нумерации, публикации и идентификации.</w:t>
      </w:r>
    </w:p>
    <w:p>
      <w:pPr>
        <w:pStyle w:val="ListBullet"/>
        <w:ind w:left="255" w:hanging="142"/>
      </w:pPr>
      <w:r>
        <w:t>Погребальный массив: стелы, жертвенники и формульные эпитафии из Каранога/Шаблула, Фараса, Саккади и других некрополей.</w:t>
      </w:r>
    </w:p>
    <w:p>
      <w:pPr>
        <w:pStyle w:val="ListBullet"/>
        <w:ind w:left="255" w:hanging="142"/>
      </w:pPr>
      <w:r>
        <w:t>Царские и исторические монументы: Хамадабская стела REM 1003 / BM EA1650, фрагмент EA1836 из Каср-Ибрима, стела Танйидамани REM 1044.</w:t>
      </w:r>
    </w:p>
    <w:p>
      <w:pPr>
        <w:pStyle w:val="ListBullet"/>
        <w:ind w:left="255" w:hanging="142"/>
      </w:pPr>
      <w:r>
        <w:t>Храмовая и вторичная эпиграфика: Кава, Мусавварат-эс-Суфра, Нага, Дукки-Гель; граффити и краткие посвятительные тексты.</w:t>
      </w:r>
    </w:p>
    <w:p>
      <w:pPr>
        <w:pStyle w:val="ListBullet"/>
        <w:ind w:left="255" w:hanging="142"/>
      </w:pPr>
      <w:r>
        <w:t>Документальный край корпуса: остраконы, письма и эпистолярная традиция Каср-Ибрима и Арминна-Уэст.</w:t>
      </w:r>
    </w:p>
    <w:p>
      <w:pPr>
        <w:pStyle w:val="ListBullet"/>
        <w:ind w:left="255" w:hanging="142"/>
      </w:pPr>
      <w:r>
        <w:t>Материальные и цифровые свидетели: музейные карточки, фотографии, 3D-модель, архивные стеклянные негативы, исторические факсимиле и Unicode-кодировка.</w:t>
      </w:r>
    </w:p>
    <w:p>
      <w:pPr>
        <w:pStyle w:val="Heading2"/>
      </w:pPr>
      <w:r>
        <w:t>2.2. Что добавил веб-поиск</w:t>
      </w:r>
    </w:p>
    <w:p>
      <w:r>
        <w:rPr>
          <w:b/>
        </w:rPr>
        <w:t xml:space="preserve">Музейный слой. </w:t>
      </w:r>
      <w:r>
        <w:t>К якорным объектам из DR добавлены предметные страницы Penn Museum, National Museums Liverpool, Staatliche Museen zu Berlin и MFA Boston. Это расширило реестр от нескольких знаменитых стел к репрезентативной выборке погребальных памятников, остраконов, храмового граффито, царской пластики и фрагментов.</w:t>
      </w:r>
    </w:p>
    <w:p>
      <w:r>
        <w:rPr>
          <w:b/>
        </w:rPr>
        <w:t xml:space="preserve">Цифровой и вычислительный слой. </w:t>
      </w:r>
      <w:r>
        <w:t>Добавлены Unicode-предложение и кодовые таблицы, UCD-файлы UnicodeData.txt и Scripts.txt, открытые вычислительные статьи, данные Penn Museum и linked-data слой Persée. При этом полноценного открытого машиночитаемого корпуса транслитераций REM найти не удалось.</w:t>
      </w:r>
    </w:p>
    <w:p>
      <w:r>
        <w:rPr>
          <w:b/>
        </w:rPr>
        <w:t xml:space="preserve">История сохранения. </w:t>
      </w:r>
      <w:r>
        <w:t>Включены ранние публикации Гриффита, Гарстанга и Lepsius, архив Griffith Institute, стеклянный негатив Liverpool DH Lab, полная серия Fontes Historiae Nubiorum и Meroitic Newsletter. Эти объекты созданы позднее древних надписей, но именно через них тексты были опубликованы, пронумерованы, сопоставлены и стали доступны исследованиям.</w:t>
      </w:r>
    </w:p>
    <w:p>
      <w:pPr>
        <w:pStyle w:val="Heading3"/>
      </w:pPr>
      <w:r>
        <w:t>Распределение записей по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721"/>
            <w:shd w:fill="17363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Тег</w:t>
            </w:r>
          </w:p>
        </w:tc>
        <w:tc>
          <w:tcPr>
            <w:tcW w:type="dxa" w:w="4989"/>
            <w:shd w:fill="17363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1587"/>
            <w:shd w:fill="17363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Записей доступа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core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ядро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43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same_corpus_or_tradition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тот же корпус / традиция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antecedent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более ранний источник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continuation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продолжение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commentary_or_reception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комментарий / рецепция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transmission_or_preservation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передача / сохранение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supporting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вспомогательный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boundary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пограничный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infrastructure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инфраструктура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0B4F53"/>
                <w:sz w:val="16"/>
              </w:rPr>
              <w:t>secondary_navigation</w:t>
            </w:r>
          </w:p>
        </w:tc>
        <w:tc>
          <w:tcPr>
            <w:tcW w:type="dxa" w:w="4989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вторичная навигация</w:t>
            </w:r>
          </w:p>
        </w:tc>
        <w:tc>
          <w:tcPr>
            <w:tcW w:type="dxa" w:w="1587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6"/>
              </w:rPr>
              <w:t>5</w:t>
            </w:r>
          </w:p>
        </w:tc>
      </w:tr>
    </w:tbl>
    <w:p>
      <w:pPr>
        <w:pStyle w:val="SourceNote"/>
      </w:pPr>
      <w:r>
        <w:rPr>
          <w:b/>
        </w:rPr>
        <w:t xml:space="preserve">Важно: </w:t>
      </w:r>
      <w:r>
        <w:t>это число строк доступа, а не число древних произведений. Один и тот же корпус может иметь отдельные строки для Persée, исторического скана, библиотечной выдачи или современной покупки.</w:t>
      </w:r>
    </w:p>
    <w:p>
      <w:pPr>
        <w:pStyle w:val="Heading2"/>
      </w:pPr>
      <w:r>
        <w:t>2.3. Открытый хронологический контур</w:t>
      </w:r>
    </w:p>
    <w:p>
      <w:pPr>
        <w:pStyle w:val="Heading3"/>
      </w:pPr>
      <w:r>
        <w:t>Поиск назад: Напата и входящие эпиграфические формы</w:t>
      </w:r>
    </w:p>
    <w:p>
      <w:pPr>
        <w:pStyle w:val="ListBullet"/>
        <w:ind w:left="255" w:hanging="142"/>
      </w:pPr>
      <w:r>
        <w:t>Стела победы Пианхи/Пийе (JE 48862) — ранний кушитский царский монумент на египетском языке; показывает институциональную предысторию царской эпиграфики.</w:t>
      </w:r>
    </w:p>
    <w:p>
      <w:pPr>
        <w:pStyle w:val="ListBullet"/>
        <w:ind w:left="255" w:hanging="142"/>
      </w:pPr>
      <w:r>
        <w:t>Стела избрания Аспелты (Лувр E 6209) — напатанский храмово-царский текст; связана с Мероэ через преемственность кушитской монархии и ритуала легитимации.</w:t>
      </w:r>
    </w:p>
    <w:p>
      <w:pPr>
        <w:pStyle w:val="ListBullet"/>
        <w:ind w:left="255" w:hanging="142"/>
      </w:pPr>
      <w:r>
        <w:t>Стела Настасена — поздненапатанский царский текст накануне мероитского периода; ближайший хронологический мост к ядру A44.</w:t>
      </w:r>
    </w:p>
    <w:p>
      <w:pPr>
        <w:pStyle w:val="ListBullet"/>
        <w:ind w:left="255" w:hanging="142"/>
      </w:pPr>
      <w:r>
        <w:t>Fontes Historiae Nubiorum I–II — современная компиляция и перевод более ранних и переходных источников; необходима для проверки того, что в мероитской фазе продолжалось, а что изменилось.</w:t>
      </w:r>
    </w:p>
    <w:p>
      <w:pPr>
        <w:pStyle w:val="Heading3"/>
      </w:pPr>
      <w:r>
        <w:t>Поиск вперёд: сохранение, комментарий и древненубийское продолжение</w:t>
      </w:r>
    </w:p>
    <w:p>
      <w:pPr>
        <w:pStyle w:val="ListBullet"/>
        <w:ind w:left="255" w:hanging="142"/>
      </w:pPr>
      <w:r>
        <w:t>Fontes Historiae Nubiorum III–IV, REM и Meroitic Newsletter — поздние редакционные и компиляционные слои, через которые древний материал получил устойчивые номера, переводы, указатели и исправления.</w:t>
      </w:r>
    </w:p>
    <w:p>
      <w:pPr>
        <w:pStyle w:val="ListBullet"/>
        <w:ind w:left="255" w:hanging="142"/>
      </w:pPr>
      <w:r>
        <w:t>Гриффит, Гарстанг и ранние Archaeological Survey volumes — исторические публикации, сохраняющие фотографии, прорисовки и первые чтения ныне рассеянных или труднодоступных памятников.</w:t>
      </w:r>
    </w:p>
    <w:p>
      <w:pPr>
        <w:pStyle w:val="ListBullet"/>
        <w:ind w:left="255" w:hanging="142"/>
      </w:pPr>
      <w:r>
        <w:t>Old Nubian / DBMNT и статья Гжегожа Охалы — не “продолжение мероитского языка”, а новая письменная среда той же Нильской зоны; конкретная связь проходит через географию Каср-Ибрима и преемственность письма.</w:t>
      </w:r>
    </w:p>
    <w:p>
      <w:pPr>
        <w:pStyle w:val="ListBullet"/>
        <w:ind w:left="255" w:hanging="142"/>
      </w:pPr>
      <w:r>
        <w:t>Статья о возможных древненубийских когнатах aleqese и Amanap — осторожная лингвистическая рецепция, непосредственно проверяющая связь двух языковых фаз.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41"/>
      </w:tblGrid>
      <w:tr>
        <w:tc>
          <w:tcPr>
            <w:tcW w:type="dxa" w:w="4989"/>
            <w:shd w:fill="0B4F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9"/>
            <w:shd w:fill="EAF4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3A"/>
                <w:sz w:val="21"/>
              </w:rPr>
              <w:t>Почему внешние даты не меняют мастер-строку</w:t>
            </w:r>
          </w:p>
          <w:p>
            <w:pPr>
              <w:spacing w:after="0"/>
            </w:pPr>
            <w:r>
              <w:t>Пийе, Аспелта, Настасен и древненубийские тексты включены как antecedent/continuation/boundary. Они расширяют карту корпуса, но не меняют ID A44, статус C и исторические границы ядра.</w:t>
            </w:r>
          </w:p>
        </w:tc>
      </w:tr>
    </w:tbl>
    <w:p>
      <w:pPr>
        <w:pStyle w:val="Heading1"/>
        <w:pBdr>
          <w:bottom w:val="single" w:sz="8" w:space="4" w:color="D9A441"/>
        </w:pBdr>
      </w:pPr>
      <w:r>
        <w:t>3. Лучшие пути доступа</w:t>
      </w:r>
    </w:p>
    <w:p>
      <w:r>
        <w:rPr>
          <w:b/>
        </w:rPr>
        <w:t xml:space="preserve">Критерий “лучший” здесь практический: </w:t>
      </w:r>
      <w:r>
        <w:t>полнота и устойчивость идентификации, качество оригинала/факсимиле, законность доступа, научная ценность и ясность прав. Один путь редко выигрывает по всем критериям одновременно.</w:t>
      </w:r>
    </w:p>
    <w:p>
      <w:pPr>
        <w:pStyle w:val="Heading2"/>
      </w:pPr>
      <w:r>
        <w:t>3.1. REM и общий корпус мероитской эпиграфики</w:t>
      </w:r>
    </w:p>
    <w:p>
      <w:r>
        <w:rPr>
          <w:b/>
        </w:rPr>
        <w:t xml:space="preserve">Лучшее бесплатное чтение и скачивание. </w:t>
      </w:r>
      <w:r>
        <w:t>Persée предоставляет полные REM I–III в браузере и PDF. Это главный устойчивый вход к нумерации REM, прорисовкам, транскрипциям, индексам и библиографии. Для исследовательской копии — превосходно; для зеркалирования — недостаточно, поскольку современное издание открыто для чтения, но не выпущено под открытой лицензией.</w:t>
      </w:r>
    </w:p>
    <w:p>
      <w:pPr>
        <w:pStyle w:val="SourceNote"/>
      </w:pPr>
      <w:r>
        <w:rPr>
          <w:b/>
        </w:rPr>
        <w:t xml:space="preserve">Проверенные входы: </w:t>
      </w:r>
      <w:hyperlink r:id="rId11">
        <w:r>
          <w:rPr>
            <w:color w:val="0B4F53"/>
            <w:u w:val="single"/>
          </w:rPr>
          <w:t>REM I</w:t>
        </w:r>
      </w:hyperlink>
      <w:r>
        <w:t xml:space="preserve"> · </w:t>
      </w:r>
      <w:hyperlink r:id="rId12">
        <w:r>
          <w:rPr>
            <w:color w:val="0B4F53"/>
            <w:u w:val="single"/>
          </w:rPr>
          <w:t>REM II</w:t>
        </w:r>
      </w:hyperlink>
      <w:r>
        <w:t xml:space="preserve"> · </w:t>
      </w:r>
      <w:hyperlink r:id="rId13">
        <w:r>
          <w:rPr>
            <w:color w:val="0B4F53"/>
            <w:u w:val="single"/>
          </w:rPr>
          <w:t>REM III</w:t>
        </w:r>
      </w:hyperlink>
      <w:r>
        <w:t xml:space="preserve"> · </w:t>
      </w:r>
      <w:hyperlink r:id="rId14">
        <w:r>
          <w:rPr>
            <w:color w:val="0B4F53"/>
            <w:u w:val="single"/>
          </w:rPr>
          <w:t>условия Persée</w:t>
        </w:r>
      </w:hyperlink>
    </w:p>
    <w:p>
      <w:r>
        <w:rPr>
          <w:b/>
        </w:rPr>
        <w:t xml:space="preserve">Лучший машиночитаемый слой рядом с REM. </w:t>
      </w:r>
      <w:r>
        <w:t>Data Persée даёт linked-data/метаданные и устойчивые идентификаторы. Его можно использовать для некоммерческого индексирования и графовой навигации с атрибуцией, но лицензия этого слоя не открывает тексты, PDF и изображения REM.</w:t>
      </w:r>
    </w:p>
    <w:p>
      <w:pPr>
        <w:pStyle w:val="SourceNote"/>
      </w:pPr>
      <w:r>
        <w:rPr>
          <w:b/>
        </w:rPr>
        <w:t xml:space="preserve">Проверенные входы: </w:t>
      </w:r>
      <w:hyperlink r:id="rId15">
        <w:r>
          <w:rPr>
            <w:color w:val="0B4F53"/>
            <w:u w:val="single"/>
          </w:rPr>
          <w:t>Data Persée</w:t>
        </w:r>
      </w:hyperlink>
    </w:p>
    <w:p>
      <w:r>
        <w:rPr>
          <w:b/>
        </w:rPr>
        <w:t xml:space="preserve">Лучший текущий научный синтез. </w:t>
      </w:r>
      <w:r>
        <w:t>Для письма и языка — открытые статьи Claude Rilly в UCLA Encyclopedia of Egyptology и глава “Meroitic Epigraphy” в HAL; для глубокой грамматики и системы письма — защищённая монография Rilly &amp; de Voogt 2012.</w:t>
      </w:r>
    </w:p>
    <w:p>
      <w:pPr>
        <w:pStyle w:val="SourceNote"/>
      </w:pPr>
      <w:r>
        <w:rPr>
          <w:b/>
        </w:rPr>
        <w:t xml:space="preserve">Проверенные входы: </w:t>
      </w:r>
      <w:hyperlink r:id="rId16">
        <w:r>
          <w:rPr>
            <w:color w:val="0B4F53"/>
            <w:u w:val="single"/>
          </w:rPr>
          <w:t>Meroitic Writing (2022)</w:t>
        </w:r>
      </w:hyperlink>
      <w:r>
        <w:t xml:space="preserve"> · </w:t>
      </w:r>
      <w:hyperlink r:id="rId17">
        <w:r>
          <w:rPr>
            <w:color w:val="0B4F53"/>
            <w:u w:val="single"/>
          </w:rPr>
          <w:t>Meroitic (2016)</w:t>
        </w:r>
      </w:hyperlink>
      <w:r>
        <w:t xml:space="preserve"> · </w:t>
      </w:r>
      <w:hyperlink r:id="rId18">
        <w:r>
          <w:rPr>
            <w:color w:val="0B4F53"/>
            <w:u w:val="single"/>
          </w:rPr>
          <w:t>Meroitic Epigraphy (2024)</w:t>
        </w:r>
      </w:hyperlink>
      <w:r>
        <w:t xml:space="preserve"> · </w:t>
      </w:r>
      <w:hyperlink r:id="rId19">
        <w:r>
          <w:rPr>
            <w:color w:val="0B4F53"/>
            <w:u w:val="single"/>
          </w:rPr>
          <w:t>Cambridge monograph</w:t>
        </w:r>
      </w:hyperlink>
    </w:p>
    <w:p>
      <w:pPr>
        <w:pStyle w:val="Heading2"/>
      </w:pPr>
      <w:r>
        <w:t>3.2. Оригиналы, фотографии и факсимиле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38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608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Лучший вход</w:t>
            </w:r>
          </w:p>
        </w:tc>
        <w:tc>
          <w:tcPr>
            <w:tcW w:type="dxa" w:w="1928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Правовой слой</w:t>
            </w:r>
          </w:p>
        </w:tc>
        <w:tc>
          <w:tcPr>
            <w:tcW w:type="dxa" w:w="2438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Хамадабская стела REM 1003 / EA1650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BM object page + exact BM image + Commons photograph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BM image: CC BY-NC-SA 4.0; Commons photo: CC BY 3.0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Наиболее сильная комбинация идентификации и повторного использования; лицензии действуют только на конкретные фотографии.</w:t>
            </w:r>
          </w:p>
        </w:tc>
      </w:tr>
      <w:tr>
        <w:trPr>
          <w:cantSplit/>
        </w:trPr>
        <w:tc>
          <w:tcPr>
            <w:tcW w:type="dxa" w:w="243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Берлинские стелы ÄM 2253–2255</w:t>
            </w:r>
          </w:p>
        </w:tc>
        <w:tc>
          <w:tcPr>
            <w:tcW w:type="dxa" w:w="260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SMB item pages</w:t>
            </w:r>
          </w:p>
        </w:tc>
        <w:tc>
          <w:tcPr>
            <w:tcW w:type="dxa" w:w="192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CC BY-SA 4.0 на указанные item-level изображения</w:t>
            </w:r>
          </w:p>
        </w:tc>
        <w:tc>
          <w:tcPr>
            <w:tcW w:type="dxa" w:w="243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Можно зеркалировать с атрибуцией и ShareAlike; современную транскрипцию не заимствовать автоматически.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Караног / Шаблул, Penn Museum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Item pages + downloadable collection images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Собственное некоммерческое разрешение Penn с обязательным credit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Подходит для ToS-исследования, OCR и некоммерческой демонстрации; high-res/publication требуют отдельного запроса.</w:t>
            </w:r>
          </w:p>
        </w:tc>
      </w:tr>
      <w:tr>
        <w:trPr>
          <w:cantSplit/>
        </w:trPr>
        <w:tc>
          <w:tcPr>
            <w:tcW w:type="dxa" w:w="243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Стела Танйидамани REM 1044</w:t>
            </w:r>
          </w:p>
        </w:tc>
        <w:tc>
          <w:tcPr>
            <w:tcW w:type="dxa" w:w="260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MFA Boston zoomable record</w:t>
            </w:r>
          </w:p>
        </w:tc>
        <w:tc>
          <w:tcPr>
            <w:tcW w:type="dxa" w:w="192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Просмотр для некоммерческого научного исследования; публикация и производные требуют разрешения</w:t>
            </w:r>
          </w:p>
        </w:tc>
        <w:tc>
          <w:tcPr>
            <w:tcW w:type="dxa" w:w="2438"/>
            <w:shd w:fill="F3F5F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Сильный визуальный вход, но link-only для публичной републикации.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Остраконы Liverpool 49.47.801a–d</w:t>
            </w:r>
          </w:p>
        </w:tc>
        <w:tc>
          <w:tcPr>
            <w:tcW w:type="dxa" w:w="26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National Museums Liverpool item pages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Открытый просмотр; item-level reuse licence не найдена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Сохранять ссылки и метаданные; фотографии не зеркалировать без разрешения.</w:t>
            </w:r>
          </w:p>
        </w:tc>
      </w:tr>
    </w:tbl>
    <w:p>
      <w:pPr>
        <w:pStyle w:val="SourceNote"/>
      </w:pPr>
      <w:r>
        <w:rPr>
          <w:b/>
        </w:rPr>
        <w:t xml:space="preserve">Проверенные входы: </w:t>
      </w:r>
      <w:hyperlink r:id="rId20">
        <w:r>
          <w:rPr>
            <w:color w:val="0B4F53"/>
            <w:u w:val="single"/>
          </w:rPr>
          <w:t>BM EA1650</w:t>
        </w:r>
      </w:hyperlink>
      <w:r>
        <w:t xml:space="preserve"> · </w:t>
      </w:r>
      <w:hyperlink r:id="rId21">
        <w:r>
          <w:rPr>
            <w:color w:val="0B4F53"/>
            <w:u w:val="single"/>
          </w:rPr>
          <w:t>BM image 1345043001</w:t>
        </w:r>
      </w:hyperlink>
      <w:r>
        <w:t xml:space="preserve"> · </w:t>
      </w:r>
      <w:hyperlink r:id="rId22">
        <w:r>
          <w:rPr>
            <w:color w:val="0B4F53"/>
            <w:u w:val="single"/>
          </w:rPr>
          <w:t>Commons Hamadab photo</w:t>
        </w:r>
      </w:hyperlink>
      <w:r>
        <w:t xml:space="preserve"> · </w:t>
      </w:r>
      <w:hyperlink r:id="rId23">
        <w:r>
          <w:rPr>
            <w:color w:val="0B4F53"/>
            <w:u w:val="single"/>
          </w:rPr>
          <w:t>SMB ÄM 2254</w:t>
        </w:r>
      </w:hyperlink>
      <w:r>
        <w:t xml:space="preserve"> · </w:t>
      </w:r>
      <w:hyperlink r:id="rId24">
        <w:r>
          <w:rPr>
            <w:color w:val="0B4F53"/>
            <w:u w:val="single"/>
          </w:rPr>
          <w:t>Penn E7093</w:t>
        </w:r>
      </w:hyperlink>
      <w:r>
        <w:t xml:space="preserve"> · </w:t>
      </w:r>
      <w:hyperlink r:id="rId25">
        <w:r>
          <w:rPr>
            <w:color w:val="0B4F53"/>
            <w:u w:val="single"/>
          </w:rPr>
          <w:t>MFA Tanyidamani</w:t>
        </w:r>
      </w:hyperlink>
    </w:p>
    <w:p>
      <w:r>
        <w:rPr>
          <w:b/>
        </w:rPr>
        <w:t xml:space="preserve">Лучшее старое публичнодоменное или близкое к нему факсимильное основание. </w:t>
      </w:r>
      <w:r>
        <w:t>Тома Гриффита 1911–1912 годов дают сканы, прорисовки и ранние транскрипции Каранога, Шаблула и северной Нубии; Internet Archive предоставляет PDF/OCR. Для США публикационный срок истёк, но международная проверка всё равно нужна. Особенно осторожно следует обращаться с Garstang 1911: смерть основного автора в 1956 году создаёт ограничения в странах с длительным посмертным сроком.</w:t>
      </w:r>
    </w:p>
    <w:p>
      <w:pPr>
        <w:pStyle w:val="SourceNote"/>
      </w:pPr>
      <w:r>
        <w:rPr>
          <w:b/>
        </w:rPr>
        <w:t xml:space="preserve">Проверенные входы: </w:t>
      </w:r>
      <w:hyperlink r:id="rId26">
        <w:r>
          <w:rPr>
            <w:color w:val="0B4F53"/>
            <w:u w:val="single"/>
          </w:rPr>
          <w:t>Karanòg 1911</w:t>
        </w:r>
      </w:hyperlink>
      <w:r>
        <w:t xml:space="preserve"> · </w:t>
      </w:r>
      <w:hyperlink r:id="rId27">
        <w:r>
          <w:rPr>
            <w:color w:val="0B4F53"/>
            <w:u w:val="single"/>
          </w:rPr>
          <w:t>Meroitic Inscriptions I</w:t>
        </w:r>
      </w:hyperlink>
      <w:r>
        <w:t xml:space="preserve"> · </w:t>
      </w:r>
      <w:hyperlink r:id="rId28">
        <w:r>
          <w:rPr>
            <w:color w:val="0B4F53"/>
            <w:u w:val="single"/>
          </w:rPr>
          <w:t>Meroitic Inscriptions II</w:t>
        </w:r>
      </w:hyperlink>
      <w:r>
        <w:t xml:space="preserve"> · </w:t>
      </w:r>
      <w:hyperlink r:id="rId29">
        <w:r>
          <w:rPr>
            <w:color w:val="0B4F53"/>
            <w:u w:val="single"/>
          </w:rPr>
          <w:t>Meroë: City of the Ethiopians</w:t>
        </w:r>
      </w:hyperlink>
    </w:p>
    <w:p>
      <w:pPr>
        <w:pStyle w:val="Heading2"/>
      </w:pPr>
      <w:r>
        <w:t>3.3. Каср-Ибрим</w:t>
      </w:r>
    </w:p>
    <w:p>
      <w:r>
        <w:rPr>
          <w:b/>
        </w:rPr>
        <w:t xml:space="preserve">Лучший современный критический вариант. </w:t>
      </w:r>
      <w:r>
        <w:t>Jochen Hallof, Meroitic Inscriptions from Qasr Ibrim (2016): официальный preview и покупка; полный текст защищён.</w:t>
      </w:r>
    </w:p>
    <w:p>
      <w:r>
        <w:rPr>
          <w:b/>
        </w:rPr>
        <w:t xml:space="preserve">Лучший археологический контекст. </w:t>
      </w:r>
      <w:r>
        <w:t>Pamela Rose, The Meroitic Temple Complex at Qasr Ibrim (2008): покупка у Egypt Exploration Society и библиотечный маршрут через HathiTrust.</w:t>
      </w:r>
    </w:p>
    <w:p>
      <w:r>
        <w:rPr>
          <w:b/>
        </w:rPr>
        <w:t xml:space="preserve">Лучший бесплатный специализированный фрагмент. </w:t>
      </w:r>
      <w:r>
        <w:t>Статья Meroitic Newsletter 27d о “эпистолярной” традиции даёт новые тексты из Arminna West и Qasr Ibrim.</w:t>
      </w:r>
    </w:p>
    <w:p>
      <w:r>
        <w:rPr>
          <w:b/>
        </w:rPr>
        <w:t xml:space="preserve">Лучший обзор места. </w:t>
      </w:r>
      <w:r>
        <w:t>UCL Digital Egypt даёт свободно читаемую институциональную навигацию, но не заменяет критическое издание.</w:t>
      </w:r>
    </w:p>
    <w:p>
      <w:pPr>
        <w:pStyle w:val="SourceNote"/>
      </w:pPr>
      <w:r>
        <w:rPr>
          <w:b/>
        </w:rPr>
        <w:t xml:space="preserve">Проверенные входы: </w:t>
      </w:r>
      <w:hyperlink r:id="rId30">
        <w:r>
          <w:rPr>
            <w:color w:val="0B4F53"/>
            <w:u w:val="single"/>
          </w:rPr>
          <w:t>Hallof 2016</w:t>
        </w:r>
      </w:hyperlink>
      <w:r>
        <w:t xml:space="preserve"> · </w:t>
      </w:r>
      <w:hyperlink r:id="rId31">
        <w:r>
          <w:rPr>
            <w:color w:val="0B4F53"/>
            <w:u w:val="single"/>
          </w:rPr>
          <w:t>Rose 2008</w:t>
        </w:r>
      </w:hyperlink>
      <w:r>
        <w:t xml:space="preserve"> · </w:t>
      </w:r>
      <w:hyperlink r:id="rId32">
        <w:r>
          <w:rPr>
            <w:color w:val="0B4F53"/>
            <w:u w:val="single"/>
          </w:rPr>
          <w:t>HathiTrust Rose</w:t>
        </w:r>
      </w:hyperlink>
      <w:r>
        <w:t xml:space="preserve"> · </w:t>
      </w:r>
      <w:hyperlink r:id="rId33">
        <w:r>
          <w:rPr>
            <w:color w:val="0B4F53"/>
            <w:u w:val="single"/>
          </w:rPr>
          <w:t>MeroNews 27d</w:t>
        </w:r>
      </w:hyperlink>
      <w:r>
        <w:t xml:space="preserve"> · </w:t>
      </w:r>
      <w:hyperlink r:id="rId34">
        <w:r>
          <w:rPr>
            <w:color w:val="0B4F53"/>
            <w:u w:val="single"/>
          </w:rPr>
          <w:t>UCL Qasr Ibrim</w:t>
        </w:r>
      </w:hyperlink>
    </w:p>
    <w:p>
      <w:pPr>
        <w:pStyle w:val="Heading2"/>
      </w:pPr>
      <w:r>
        <w:t>3.4. Переводы, компиляции и современное научное чтение</w:t>
      </w:r>
    </w:p>
    <w:p>
      <w:r>
        <w:rPr>
          <w:b/>
        </w:rPr>
        <w:t xml:space="preserve">Fontes Historiae Nubiorum I–IV. </w:t>
      </w:r>
      <w:r>
        <w:t>Это лучший широкий англоязычный маршрут к историческим источникам от напатанской предыстории до поздней античности, с переводами, вводными статьями, комментариями и индексами. Университет Бергена предоставляет полные PDF, но современная редакция и переводы остаются защищёнными.</w:t>
      </w:r>
    </w:p>
    <w:p>
      <w:pPr>
        <w:pStyle w:val="SourceNote"/>
      </w:pPr>
      <w:r>
        <w:rPr>
          <w:b/>
        </w:rPr>
        <w:t xml:space="preserve">Проверенные входы: </w:t>
      </w:r>
      <w:hyperlink r:id="rId35">
        <w:r>
          <w:rPr>
            <w:color w:val="0B4F53"/>
            <w:u w:val="single"/>
          </w:rPr>
          <w:t>FHN I</w:t>
        </w:r>
      </w:hyperlink>
      <w:r>
        <w:t xml:space="preserve"> · </w:t>
      </w:r>
      <w:hyperlink r:id="rId36">
        <w:r>
          <w:rPr>
            <w:color w:val="0B4F53"/>
            <w:u w:val="single"/>
          </w:rPr>
          <w:t>FHN II</w:t>
        </w:r>
      </w:hyperlink>
      <w:r>
        <w:t xml:space="preserve"> · </w:t>
      </w:r>
      <w:hyperlink r:id="rId37">
        <w:r>
          <w:rPr>
            <w:color w:val="0B4F53"/>
            <w:u w:val="single"/>
          </w:rPr>
          <w:t>FHN III</w:t>
        </w:r>
      </w:hyperlink>
      <w:r>
        <w:t xml:space="preserve"> · </w:t>
      </w:r>
      <w:hyperlink r:id="rId38">
        <w:r>
          <w:rPr>
            <w:color w:val="0B4F53"/>
            <w:u w:val="single"/>
          </w:rPr>
          <w:t>FHN IV</w:t>
        </w:r>
      </w:hyperlink>
    </w:p>
    <w:p>
      <w:r>
        <w:rPr>
          <w:b/>
        </w:rPr>
        <w:t xml:space="preserve">Старый англоязычный переводческий слой. </w:t>
      </w:r>
      <w:r>
        <w:t>Исторические издания Гриффита удобны как источник ранних чтений и факсимиле, но не должны без проверки заменять современную филологию. Русского полного и надёжно подтверждённого перевода значимого корпуса в этом проходе не найдено.</w:t>
      </w:r>
    </w:p>
    <w:p>
      <w:r>
        <w:rPr>
          <w:b/>
        </w:rPr>
        <w:t xml:space="preserve">Современные защищённые научные варианты. </w:t>
      </w:r>
      <w:r>
        <w:t>Cambridge monograph, Hallof 2016 и Rose 2008 включены именно потому, что законная карта доступа не должна исключать лучшие книги лишь из-за платного, библиотечного или preview-доступа.</w:t>
      </w:r>
    </w:p>
    <w:p>
      <w:pPr>
        <w:pStyle w:val="Heading2"/>
      </w:pPr>
      <w:r>
        <w:t>3.5. Машиночитаемые 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381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2835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Что даёт</w:t>
            </w:r>
          </w:p>
        </w:tc>
        <w:tc>
          <w:tcPr>
            <w:tcW w:type="dxa" w:w="1871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Лицензия</w:t>
            </w:r>
          </w:p>
        </w:tc>
        <w:tc>
          <w:tcPr>
            <w:tcW w:type="dxa" w:w="2324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Граница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UnicodeData.txt / Scripts.txt</w:t>
            </w:r>
          </w:p>
        </w:tc>
        <w:tc>
          <w:tcPr>
            <w:tcW w:type="dxa" w:w="283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Кодовые точки, имена и свойства мероитских знаков</w:t>
            </w:r>
          </w:p>
        </w:tc>
        <w:tc>
          <w:tcPr>
            <w:tcW w:type="dxa" w:w="187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Unicode License v3</w:t>
            </w:r>
          </w:p>
        </w:tc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Не содержит корпуса надписей, переводов или фотографий.</w:t>
            </w:r>
          </w:p>
        </w:tc>
      </w:tr>
      <w:tr>
        <w:trPr>
          <w:cantSplit/>
        </w:trPr>
        <w:tc>
          <w:tcPr>
            <w:tcW w:type="dxa" w:w="2381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Penn Museum collections data</w:t>
            </w:r>
          </w:p>
        </w:tc>
        <w:tc>
          <w:tcPr>
            <w:tcW w:type="dxa" w:w="2835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Инвентарные номера, provenance и музейные метаданные</w:t>
            </w:r>
          </w:p>
        </w:tc>
        <w:tc>
          <w:tcPr>
            <w:tcW w:type="dxa" w:w="1871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CC BY 4.0</w:t>
            </w:r>
          </w:p>
        </w:tc>
        <w:tc>
          <w:tcPr>
            <w:tcW w:type="dxa" w:w="2324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Изображения исключены; описания и third-party fields нужно проверять.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Data Persée</w:t>
            </w:r>
          </w:p>
        </w:tc>
        <w:tc>
          <w:tcPr>
            <w:tcW w:type="dxa" w:w="2835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Linked data и идентификаторы REM-изданий</w:t>
            </w:r>
          </w:p>
        </w:tc>
        <w:tc>
          <w:tcPr>
            <w:tcW w:type="dxa" w:w="1871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Собственные NC-условия Persée</w:t>
            </w:r>
          </w:p>
        </w:tc>
        <w:tc>
          <w:tcPr>
            <w:tcW w:type="dxa" w:w="232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Не распространяются на PDF, факсимиле и современный текст REM.</w:t>
            </w:r>
          </w:p>
        </w:tc>
      </w:tr>
      <w:tr>
        <w:trPr>
          <w:cantSplit/>
        </w:trPr>
        <w:tc>
          <w:tcPr>
            <w:tcW w:type="dxa" w:w="2381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Internet Archive OCR</w:t>
            </w:r>
          </w:p>
        </w:tc>
        <w:tc>
          <w:tcPr>
            <w:tcW w:type="dxa" w:w="2835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Поисковый текст исторических изданий</w:t>
            </w:r>
          </w:p>
        </w:tc>
        <w:tc>
          <w:tcPr>
            <w:tcW w:type="dxa" w:w="1871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Зависит от PD-статуса издания</w:t>
            </w:r>
          </w:p>
        </w:tc>
        <w:tc>
          <w:tcPr>
            <w:tcW w:type="dxa" w:w="2324"/>
            <w:shd w:fill="F3F5F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Meroitic glyphs, диакритика и таблицы часто распознаются плохо.</w:t>
            </w:r>
          </w:p>
        </w:tc>
      </w:tr>
    </w:tbl>
    <w:p>
      <w:pPr>
        <w:pStyle w:val="SourceNote"/>
      </w:pPr>
      <w:r>
        <w:rPr>
          <w:b/>
        </w:rPr>
        <w:t xml:space="preserve">Проверенные входы: </w:t>
      </w:r>
      <w:hyperlink r:id="rId39">
        <w:r>
          <w:rPr>
            <w:color w:val="0B4F53"/>
            <w:u w:val="single"/>
          </w:rPr>
          <w:t>UnicodeData.txt</w:t>
        </w:r>
      </w:hyperlink>
      <w:r>
        <w:t xml:space="preserve"> · </w:t>
      </w:r>
      <w:hyperlink r:id="rId40">
        <w:r>
          <w:rPr>
            <w:color w:val="0B4F53"/>
            <w:u w:val="single"/>
          </w:rPr>
          <w:t>Scripts.txt</w:t>
        </w:r>
      </w:hyperlink>
      <w:r>
        <w:t xml:space="preserve"> · </w:t>
      </w:r>
      <w:hyperlink r:id="rId41">
        <w:r>
          <w:rPr>
            <w:color w:val="0B4F53"/>
            <w:u w:val="single"/>
          </w:rPr>
          <w:t>Unicode licence</w:t>
        </w:r>
      </w:hyperlink>
      <w:r>
        <w:t xml:space="preserve"> · </w:t>
      </w:r>
      <w:hyperlink r:id="rId42">
        <w:r>
          <w:rPr>
            <w:color w:val="0B4F53"/>
            <w:u w:val="single"/>
          </w:rPr>
          <w:t>Penn data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41"/>
      </w:tblGrid>
      <w:tr>
        <w:tc>
          <w:tcPr>
            <w:tcW w:type="dxa" w:w="4989"/>
            <w:shd w:fill="9C3D3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9"/>
            <w:shd w:fill="F8E3E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3A"/>
                <w:sz w:val="21"/>
              </w:rPr>
              <w:t>Главный технический пробел</w:t>
            </w:r>
          </w:p>
          <w:p>
            <w:pPr>
              <w:spacing w:after="0"/>
            </w:pPr>
            <w:r>
              <w:t>Открытая кодировка знаков существует, но авторитетного открытого TEI/EpiDoc/CSV-корпуса мероитских транслитераций с ясной контентной лицензией в этом проходе не найдено.</w:t>
            </w:r>
          </w:p>
        </w:tc>
      </w:tr>
    </w:tbl>
    <w:p>
      <w:pPr>
        <w:pStyle w:val="Heading1"/>
        <w:pBdr>
          <w:bottom w:val="single" w:sz="8" w:space="4" w:color="D9A441"/>
        </w:pBdr>
      </w:pPr>
      <w:r>
        <w:t>4. Карта прав и практического использования</w:t>
      </w:r>
    </w:p>
    <w:p>
      <w:r>
        <w:rPr>
          <w:b/>
        </w:rPr>
        <w:t xml:space="preserve">Базовое правило. </w:t>
      </w:r>
      <w:r>
        <w:t>Права оценивались на четырёх уровнях: древний текст как произведение; современная редакция/перевод; конкретный цифровой объект; условия платформы. Положительный тег в XLSX действует только в пределах указанных rights_scope и coverage.</w:t>
      </w:r>
    </w:p>
    <w:p>
      <w:pPr>
        <w:pStyle w:val="Heading2"/>
      </w:pPr>
      <w:r>
        <w:t>4.1. Что ToS может потенциально зеркалировать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268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2721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2381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Допустимое действие</w:t>
            </w:r>
          </w:p>
        </w:tc>
        <w:tc>
          <w:tcPr>
            <w:tcW w:type="dxa" w:w="2041"/>
            <w:shd w:fill="1736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Условие / блокировка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5"/>
              </w:rPr>
              <w:t>Открытые данные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UnicodeData.txt, Scripts.txt; Penn Museum metadata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Локальная копия, переработка, индекс, embeddings, публикация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Сохранить notice/атрибуцию; не переносить лицензию на изображения и тексты.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5"/>
              </w:rPr>
              <w:t>Открытые фотографии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5"/>
              </w:rPr>
              <w:t>Commons Hamadab; SMB ÄM 2253–2255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5"/>
              </w:rPr>
              <w:t>Зеркало и производные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5"/>
              </w:rPr>
              <w:t>CC BY или CC BY-SA: атрибуция, ссылка на лицензию, указание изменений; ShareAlike для SMB.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5"/>
              </w:rPr>
              <w:t>Некоммерческие открытые материалы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BM image 1345043001; Ochała 2014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Некоммерческое зеркало/использование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CC BY-NC-SA: атрибуция, NC и ShareAlike; проверять third-party content.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5"/>
              </w:rPr>
              <w:t>Собственное музейное NC-разрешение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5"/>
              </w:rPr>
              <w:t>Penn Museum low-resolution downloads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5"/>
              </w:rPr>
              <w:t>Некоммерческая демонстрация, исследовательская копия, OCR в оговорённом масштабе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shd w:fill="F3F5F5"/>
            <w:tcBorders>
              <w:bottom w:val="single" w:sz="3" w:color="D6DEDE"/>
            </w:tcBorders>
          </w:tcPr>
          <w:p>
            <w:r>
              <w:rPr>
                <w:sz w:val="15"/>
              </w:rPr>
              <w:t>Credit Penn; high-res и publication-quality исключены; публичный OCR всё ещё требует review.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5"/>
              </w:rPr>
              <w:t>Исторические сканы</w:t>
            </w:r>
          </w:p>
        </w:tc>
        <w:tc>
          <w:tcPr>
            <w:tcW w:type="dxa" w:w="272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Griffith 1911–1912; некоторые ранние plates</w:t>
            </w:r>
          </w:p>
        </w:tc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OCR, индекс, embeddings и собственная транскрипция — условно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  <w:tcBorders>
              <w:bottom w:val="single" w:sz="3" w:color="D6DEDE"/>
            </w:tcBorders>
          </w:tcPr>
          <w:p>
            <w:r>
              <w:rPr>
                <w:sz w:val="15"/>
              </w:rPr>
              <w:t>Только после проверки PD по юрисдикции и конкретному автору/вкладу; IA не гарантирует права.</w:t>
            </w:r>
          </w:p>
        </w:tc>
      </w:tr>
    </w:tbl>
    <w:p>
      <w:pPr>
        <w:pStyle w:val="SourceNote"/>
      </w:pPr>
      <w:r>
        <w:rPr>
          <w:b/>
        </w:rPr>
        <w:t xml:space="preserve">Строгий предел: </w:t>
      </w:r>
      <w:r>
        <w:t>открытая лицензия одной фотографии не лицензирует предмет как физический объект, музейную карточку, другие ракурсы, современную транскрипцию или REM-комментарий.</w:t>
      </w:r>
    </w:p>
    <w:p>
      <w:pPr>
        <w:pStyle w:val="Heading2"/>
      </w:pPr>
      <w:r>
        <w:t>4.2. Что бесплатно читается или скачивается, но не должно автоматически зеркалироваться</w:t>
      </w:r>
    </w:p>
    <w:p>
      <w:pPr>
        <w:pStyle w:val="ListBullet"/>
        <w:ind w:left="255" w:hanging="142"/>
      </w:pPr>
      <w:r>
        <w:t>REM I–III на Persée: полный доступ, но современные транскрипции, переводы, индексы, верстка и изображения не выпущены под подтверждённой открытой лицензией.</w:t>
      </w:r>
    </w:p>
    <w:p>
      <w:pPr>
        <w:pStyle w:val="ListBullet"/>
        <w:ind w:left="255" w:hanging="142"/>
      </w:pPr>
      <w:r>
        <w:t>eScholarship и HAL: законные OA-копии статей Rilly и других авторов; открытый доступ не равен свободной лицензии статьи.</w:t>
      </w:r>
    </w:p>
    <w:p>
      <w:pPr>
        <w:pStyle w:val="ListBullet"/>
        <w:ind w:left="255" w:hanging="142"/>
      </w:pPr>
      <w:r>
        <w:t>Meroitic Newsletter: открытые PDF выпусков и статей; отсутствие найденной лицензии означает link/read/download, а не перепубликацию.</w:t>
      </w:r>
    </w:p>
    <w:p>
      <w:pPr>
        <w:pStyle w:val="ListBullet"/>
        <w:ind w:left="255" w:hanging="142"/>
      </w:pPr>
      <w:r>
        <w:t>Fontes Historiae Nubiorum: полные PDF доступны из University of Bergen, но современный перевод, комментарий и редакционный аппарат защищены.</w:t>
      </w:r>
    </w:p>
    <w:p>
      <w:pPr>
        <w:pStyle w:val="ListBullet"/>
        <w:ind w:left="255" w:hanging="142"/>
      </w:pPr>
      <w:r>
        <w:t>Sudan &amp; Nubia / MittSAG и SFDAS: бесплатные академические PDF, однако reuse scope не доказан.</w:t>
      </w:r>
    </w:p>
    <w:p>
      <w:pPr>
        <w:pStyle w:val="Heading2"/>
      </w:pPr>
      <w:r>
        <w:t>4.3. Link-only, borrow, preview и purchase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81"/>
            <w:shd w:fill="EAF4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Link-only / metadata</w:t>
            </w:r>
          </w:p>
        </w:tc>
        <w:tc>
          <w:tcPr>
            <w:tcW w:type="dxa" w:w="70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British Museum object pages без exact image licence; UCL Digital Egypt; National Museums Liverpool; Louvre; UNESCO; Griffith Institute.</w:t>
            </w:r>
          </w:p>
        </w:tc>
      </w:tr>
      <w:tr>
        <w:trPr>
          <w:cantSplit/>
        </w:trPr>
        <w:tc>
          <w:tcPr>
            <w:tcW w:type="dxa" w:w="2381"/>
            <w:shd w:fill="EAF4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Ограниченный просмотр</w:t>
            </w:r>
          </w:p>
        </w:tc>
        <w:tc>
          <w:tcPr>
            <w:tcW w:type="dxa" w:w="7030"/>
            <w:shd w:fill="F3F5F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MFA Boston: исследовательский просмотр изображений, но публикация/деривативы — с разрешением.</w:t>
            </w:r>
          </w:p>
        </w:tc>
      </w:tr>
      <w:tr>
        <w:trPr>
          <w:cantSplit/>
        </w:trPr>
        <w:tc>
          <w:tcPr>
            <w:tcW w:type="dxa" w:w="2381"/>
            <w:shd w:fill="EAF4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Preview</w:t>
            </w:r>
          </w:p>
        </w:tc>
        <w:tc>
          <w:tcPr>
            <w:tcW w:type="dxa" w:w="70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Cambridge excerpt; Hallof sample; Google Books/Play snippets.</w:t>
            </w:r>
          </w:p>
        </w:tc>
      </w:tr>
      <w:tr>
        <w:trPr>
          <w:cantSplit/>
        </w:trPr>
        <w:tc>
          <w:tcPr>
            <w:tcW w:type="dxa" w:w="2381"/>
            <w:shd w:fill="EAF4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Library / institutional</w:t>
            </w:r>
          </w:p>
        </w:tc>
        <w:tc>
          <w:tcPr>
            <w:tcW w:type="dxa" w:w="7030"/>
            <w:shd w:fill="F3F5F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HathiTrust routes; Internet Archive Controlled Digital Lending для защищённых FHN volumes.</w:t>
            </w:r>
          </w:p>
        </w:tc>
      </w:tr>
      <w:tr>
        <w:trPr>
          <w:cantSplit/>
        </w:trPr>
        <w:tc>
          <w:tcPr>
            <w:tcW w:type="dxa" w:w="2381"/>
            <w:shd w:fill="EAF4F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Purchase</w:t>
            </w:r>
          </w:p>
        </w:tc>
        <w:tc>
          <w:tcPr>
            <w:tcW w:type="dxa" w:w="70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Rilly &amp; de Voogt 2012; Hallof 2016; Rose 2008.</w:t>
            </w:r>
          </w:p>
        </w:tc>
      </w:tr>
    </w:tbl>
    <w:p>
      <w:pPr>
        <w:pStyle w:val="Heading2"/>
      </w:pPr>
      <w:r>
        <w:t>4.4. Где возможен собственный перевод ToS</w:t>
      </w:r>
    </w:p>
    <w:p>
      <w:r>
        <w:rPr>
          <w:b/>
        </w:rPr>
        <w:t xml:space="preserve">Положительное основание существует, когда доступен: </w:t>
      </w:r>
      <w:r>
        <w:t>публичнодоменный исторический факсимильный слой, открыто лицензированная фотография древнего свидетеля или иное rights-clear изображение/транскрипция. В этом пакете наиболее чистые примеры — Commons-фотография Хамадабской стелы, CC BY-SA изображения берлинских стел, точное BM-изображение под CC BY-NC-SA и условно публичнодоменные ранние факсимиле Гриффита.</w:t>
      </w:r>
    </w:p>
    <w:p>
      <w:r>
        <w:rPr>
          <w:b/>
        </w:rPr>
        <w:t xml:space="preserve">Но OWN_TRANSLATION_POSSIBLE не означает “перевести весь REM”. </w:t>
      </w:r>
      <w:r>
        <w:t>Тег ограничен конкретным свидетелем или страницами. Кроме того, собственный перевод мероитского текста может быть лишь научной реконструкцией: письмо в основном читается, но язык расшифрован не полностью. Нельзя копировать защищённую современную реставрацию, словарь или перевод-посредник, выдавая результат за независимый.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41"/>
      </w:tblGrid>
      <w:tr>
        <w:tc>
          <w:tcPr>
            <w:tcW w:type="dxa" w:w="4989"/>
            <w:shd w:fill="225E4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9"/>
            <w:shd w:fill="E1F1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3A"/>
                <w:sz w:val="21"/>
              </w:rPr>
              <w:t>Безопасный рабочий маршрут</w:t>
            </w:r>
          </w:p>
          <w:p>
            <w:pPr>
              <w:spacing w:after="0"/>
            </w:pPr>
            <w:r>
              <w:t>1) выбрать rights-clear facsimile; 2) зафиксировать provenance и лицензию; 3) самостоятельно транслитерировать; 4) отделить наблюдаемые знаки от восстановлений; 5) сопоставить с REM только как с защищённым научным ориентиром; 6) публиковать собственный текст с маркировкой степени уверенности.</w:t>
            </w:r>
          </w:p>
        </w:tc>
      </w:tr>
    </w:tbl>
    <w:p>
      <w:pPr>
        <w:pStyle w:val="Heading1"/>
        <w:pBdr>
          <w:bottom w:val="single" w:sz="8" w:space="4" w:color="D9A441"/>
        </w:pBdr>
      </w:pPr>
      <w:r>
        <w:t>5. Характерные правовые тонкости</w:t>
      </w:r>
    </w:p>
    <w:p>
      <w:pPr>
        <w:pStyle w:val="Heading3"/>
      </w:pPr>
      <w:r>
        <w:t>Древность текста не освобождает современный слой.</w:t>
      </w:r>
    </w:p>
    <w:p>
      <w:r>
        <w:t>Древняя надпись как таковая находится вне современного авторского права, но REM-транскрипция, перевод, реставрация лакун, комментарий, фотография, 3D-модель и TEI-разметка могут иметь разных правообладателей.</w:t>
      </w:r>
    </w:p>
    <w:p>
      <w:pPr>
        <w:pStyle w:val="Heading3"/>
      </w:pPr>
      <w:r>
        <w:t>Free download ≠ permission to republish.</w:t>
      </w:r>
    </w:p>
    <w:p>
      <w:r>
        <w:t>Persée, HAL, eScholarship, MARCUS и академические журналы могут законно отдавать PDF пользователю, не выдавая ToS право делать собственное зеркало.</w:t>
      </w:r>
    </w:p>
    <w:p>
      <w:pPr>
        <w:pStyle w:val="Heading3"/>
      </w:pPr>
      <w:r>
        <w:t>Public Domain Mark — не лицензия.</w:t>
      </w:r>
    </w:p>
    <w:p>
      <w:r>
        <w:t>Он сообщает заявленный статус объекта. Для международного публичного проекта всё равно нужны дата публикации, авторство, страна использования и возможные фотографии/добавления.</w:t>
      </w:r>
    </w:p>
    <w:p>
      <w:pPr>
        <w:pStyle w:val="Heading3"/>
      </w:pPr>
      <w:r>
        <w:t>Юрисдикция особенно важна для старых книг.</w:t>
      </w:r>
    </w:p>
    <w:p>
      <w:r>
        <w:t>Издание 1911 года может быть свободно в США по дате публикации, но не обязательно во всех странах с посмертным сроком. Garstang (ум. 1956) — показательный риск для Мексики и иных длительных сроков.</w:t>
      </w:r>
    </w:p>
    <w:p>
      <w:pPr>
        <w:pStyle w:val="Heading3"/>
      </w:pPr>
      <w:r>
        <w:t>Музейные права почти всегда item-level.</w:t>
      </w:r>
    </w:p>
    <w:p>
      <w:r>
        <w:t>BM image 1345043001 имеет конкретную CC-лицензию; это не основание лицензировать другие фотографии EA1650 или любые изображения BM. То же относится к SMB, Penn, MFA и Liverpool.</w:t>
      </w:r>
    </w:p>
    <w:p>
      <w:pPr>
        <w:pStyle w:val="Heading3"/>
      </w:pPr>
      <w:r>
        <w:t>Открытые данные и закрытые изображения могут жить на одной странице.</w:t>
      </w:r>
    </w:p>
    <w:p>
      <w:r>
        <w:t>Penn Museum даёт CC BY 4.0 на скачиваемый metadata dataset, но исключает изображения; Persée разрешает NC-reuse datasets, но не тем самым PDF публикаций.</w:t>
      </w:r>
    </w:p>
    <w:p>
      <w:pPr>
        <w:pStyle w:val="Heading3"/>
      </w:pPr>
      <w:r>
        <w:t>“Некомерческий ToS” полезен, но не магичен.</w:t>
      </w:r>
    </w:p>
    <w:p>
      <w:r>
        <w:t>NC-лицензии и собственные музейные условия можно использовать при соблюдении их требований. Однако сам факт отсутствия продажи не создаёт права там, где лицензии нет.</w:t>
      </w:r>
    </w:p>
    <w:p>
      <w:pPr>
        <w:pStyle w:val="Heading3"/>
      </w:pPr>
      <w:r>
        <w:t>Неполная расшифровка — не только филология, но и provenance результата.</w:t>
      </w:r>
    </w:p>
    <w:p>
      <w:r>
        <w:t>Нужно отдельно хранить видимые знаки, чтение, морфологическую гипотезу и перевод. Иначе защищённая современная реконструкция может незаметно стать основой “собственного” текста.</w:t>
      </w:r>
    </w:p>
    <w:p>
      <w:pPr>
        <w:pStyle w:val="Heading1"/>
        <w:pBdr>
          <w:bottom w:val="single" w:sz="8" w:space="4" w:color="D9A441"/>
        </w:pBdr>
      </w:pPr>
      <w:r>
        <w:t>6. Пробелы и дальнейший поиск</w:t>
      </w:r>
    </w:p>
    <w:p>
      <w:r>
        <w:rPr>
          <w:b/>
        </w:rPr>
        <w:t xml:space="preserve">Лист gaps содержит 18 приоритетных незакрытых пунктов. </w:t>
      </w:r>
      <w:r>
        <w:t>Он включает как отсутствующие item-level страницы, так и неясные лицензии, неполные корпусные карты, региональные пробелы и один unverified_candidate, найденный через слабые навигационные сигналы, но не подтверждённый официальным проектом.</w:t>
      </w:r>
    </w:p>
    <w:p>
      <w:pPr>
        <w:pStyle w:val="Heading2"/>
      </w:pPr>
      <w:r>
        <w:t>6.1. Наиболее существенные пробелы</w:t>
      </w:r>
    </w:p>
    <w:p>
      <w:pPr>
        <w:pStyle w:val="ListBullet"/>
        <w:ind w:left="255" w:hanging="142"/>
      </w:pPr>
      <w:r>
        <w:t>Нет подтверждённого единого актуального онлайн-преемника REM, который полно и прозрачно покрывал бы надписи после опубликованного диапазона REM III.</w:t>
      </w:r>
    </w:p>
    <w:p>
      <w:pPr>
        <w:pStyle w:val="ListBullet"/>
        <w:ind w:left="255" w:hanging="142"/>
      </w:pPr>
      <w:r>
        <w:t>Для Дукки-Геля, Нага, Мусавварат-эс-Суфры и позднего текста Харамадойе не собраны полные item-level факсимиле с ясными правами.</w:t>
      </w:r>
    </w:p>
    <w:p>
      <w:pPr>
        <w:pStyle w:val="ListBullet"/>
        <w:ind w:left="255" w:hanging="142"/>
      </w:pPr>
      <w:r>
        <w:t>Не найден публичный стабильный каталог Sudan National Museum / NCAM, хотя значительная часть наследия физически находится в Судане.</w:t>
      </w:r>
    </w:p>
    <w:p>
      <w:pPr>
        <w:pStyle w:val="ListBullet"/>
        <w:ind w:left="255" w:hanging="142"/>
      </w:pPr>
      <w:r>
        <w:t>Каср-Ибрим покрыт несколькими сильными входами, но пока не сведён в исчерпывающую concordance между Hallof, REM, EES volumes и музейными inventory IDs.</w:t>
      </w:r>
    </w:p>
    <w:p>
      <w:pPr>
        <w:pStyle w:val="ListBullet"/>
        <w:ind w:left="255" w:hanging="142"/>
      </w:pPr>
      <w:r>
        <w:t>Для большинства British Museum objects найдены object pages, но не точные image IDs и лицензии каждого ракурса.</w:t>
      </w:r>
    </w:p>
    <w:p>
      <w:pPr>
        <w:pStyle w:val="ListBullet"/>
        <w:ind w:left="255" w:hanging="142"/>
      </w:pPr>
      <w:r>
        <w:t>Нет авторитетного открытого машиночитаемого корпуса транслитераций REM с явной лицензией; Unicode решает только кодировку знаков.</w:t>
      </w:r>
    </w:p>
    <w:p>
      <w:pPr>
        <w:pStyle w:val="ListBullet"/>
        <w:ind w:left="255" w:hanging="142"/>
      </w:pPr>
      <w:r>
        <w:t>Нет подтверждённого полного современного лексикона и существенного русскоязычного переводческого слоя.</w:t>
      </w:r>
    </w:p>
    <w:p>
      <w:pPr>
        <w:pStyle w:val="ListBullet"/>
        <w:ind w:left="255" w:hanging="142"/>
      </w:pPr>
      <w:r>
        <w:t>Региональная суданская библиография и локальные цифровые архивы представлены слабее, чем европейские и американские коллекции.</w:t>
      </w:r>
    </w:p>
    <w:p>
      <w:pPr>
        <w:pStyle w:val="Heading2"/>
      </w:pPr>
      <w:r>
        <w:t>6.2. Targeted follow-up: восемь наиболее полезных направлений</w:t>
      </w:r>
    </w:p>
    <w:p>
      <w:pPr>
        <w:pStyle w:val="ListNumber"/>
        <w:ind w:left="312" w:hanging="142"/>
      </w:pPr>
      <w:r>
        <w:t>Связаться с текущей редакцией REM/AIBL: запросить maintained register, post-2000 supplements, concordance и официальную reuse policy для data/text/image layers.</w:t>
      </w:r>
    </w:p>
    <w:p>
      <w:pPr>
        <w:pStyle w:val="ListNumber"/>
        <w:ind w:left="312" w:hanging="142"/>
      </w:pPr>
      <w:r>
        <w:t>Собрать site corpora Дукки-Геля, Нага и Мусавварат-эс-Суфры через франко- и германоязычные публикации, field-project repositories и IIIF/API.</w:t>
      </w:r>
    </w:p>
    <w:p>
      <w:pPr>
        <w:pStyle w:val="ListNumber"/>
        <w:ind w:left="312" w:hanging="142"/>
      </w:pPr>
      <w:r>
        <w:t>Построить “Sudan-first” проход: NCAM, Sudan National Museum, University of Khartoum, Nile Valley University, SFDAS и авторские депозиты.</w:t>
      </w:r>
    </w:p>
    <w:p>
      <w:pPr>
        <w:pStyle w:val="ListNumber"/>
        <w:ind w:left="312" w:hanging="142"/>
      </w:pPr>
      <w:r>
        <w:t>Получить все BM image IDs для EA1585, EA1836, EA1598, EA1576, EA1587 и EA1509, не перенося лицензию изображения 1345043001.</w:t>
      </w:r>
    </w:p>
    <w:p>
      <w:pPr>
        <w:pStyle w:val="ListNumber"/>
        <w:ind w:left="312" w:hanging="142"/>
      </w:pPr>
      <w:r>
        <w:t>Скачать CC BY 4.0 metadata Penn, отфильтровать Karanog/Shablul/Meroitic и вручную проверить каждую inscription-bearing object page.</w:t>
      </w:r>
    </w:p>
    <w:p>
      <w:pPr>
        <w:pStyle w:val="ListNumber"/>
        <w:ind w:left="312" w:hanging="142"/>
      </w:pPr>
      <w:r>
        <w:t>Свести Qasr Ibrim concordance: REM numbers ↔ Hallof pages ↔ EES excavation contexts ↔ museum inventories ↔ DBMNT continuation.</w:t>
      </w:r>
    </w:p>
    <w:p>
      <w:pPr>
        <w:pStyle w:val="ListNumber"/>
        <w:ind w:left="312" w:hanging="142"/>
      </w:pPr>
      <w:r>
        <w:t>Искать TEI/EpiDoc/CSV-транслитерации и словари в Huma-Num, Nakala, Zenodo, HAL supplements, institutional GitHub и LLACAN/CNRS.</w:t>
      </w:r>
    </w:p>
    <w:p>
      <w:pPr>
        <w:pStyle w:val="ListNumber"/>
        <w:ind w:left="312" w:hanging="142"/>
      </w:pPr>
      <w:r>
        <w:t>Запустить отдельный русский и региональный библиографический проход: РГБ, университетские репозитории, eLIBRARY, русские варианты имён и REM-номера.</w:t>
      </w:r>
    </w:p>
    <w:p>
      <w:pPr>
        <w:pStyle w:val="Heading2"/>
      </w:pPr>
      <w:r>
        <w:t>6.3. Неподтверждённые кандидаты</w:t>
      </w:r>
    </w:p>
    <w:p>
      <w:r>
        <w:t>Слабые поисковые указатели намекали на существование современного “online REM successor” или единой базы мероитских надписей. Официальная корпусная страница, издатель или академический владелец не были подтверждены. Поэтому такой кандидат не включён в registry ни как access source, ни как rights evidence; он сохранён в gaps со статусом unverified_candidate. Wikipedia и общие агрегаторы в итоговые ссылки не включались.</w:t>
      </w:r>
    </w:p>
    <w:p>
      <w:pPr>
        <w:pStyle w:val="Heading1"/>
        <w:pBdr>
          <w:bottom w:val="single" w:sz="8" w:space="4" w:color="D9A441"/>
        </w:pBdr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494"/>
            <w:shd w:fill="EAF4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Покрытие корпуса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Сильное для REM I–III, ключевых жанров, ведущих музейных свидетелей, Каср-Ибрима и истории публикации; неполное для новых находок после REM III и суданских item-level каталогов.</w:t>
            </w:r>
          </w:p>
        </w:tc>
      </w:tr>
      <w:tr>
        <w:trPr>
          <w:cantSplit/>
        </w:trPr>
        <w:tc>
          <w:tcPr>
            <w:tcW w:type="dxa" w:w="2494"/>
            <w:shd w:fill="EAF4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Доступность оригиналов</w:t>
            </w:r>
          </w:p>
        </w:tc>
        <w:tc>
          <w:tcPr>
            <w:tcW w:type="dxa" w:w="6917"/>
            <w:shd w:fill="F3F5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Хорошая на уровне репрезентативных фотографий, музейных карточек и ранних факсимиле; неравномерная на уровне полного корпуса и high-resolution прав.</w:t>
            </w:r>
          </w:p>
        </w:tc>
      </w:tr>
      <w:tr>
        <w:trPr>
          <w:cantSplit/>
        </w:trPr>
        <w:tc>
          <w:tcPr>
            <w:tcW w:type="dxa" w:w="2494"/>
            <w:shd w:fill="EAF4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Доступность переводов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Сильная на английском и французском через FHN, REM и современную науку; русский существенный слой не подтверждён.</w:t>
            </w:r>
          </w:p>
        </w:tc>
      </w:tr>
      <w:tr>
        <w:trPr>
          <w:cantSplit/>
        </w:trPr>
        <w:tc>
          <w:tcPr>
            <w:tcW w:type="dxa" w:w="2494"/>
            <w:shd w:fill="EAF4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Наиболее свободный слой</w:t>
            </w:r>
          </w:p>
        </w:tc>
        <w:tc>
          <w:tcPr>
            <w:tcW w:type="dxa" w:w="6917"/>
            <w:shd w:fill="F3F5F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Unicode data, Penn metadata, отдельные CC-фотографии BM/Commons/SMB и часть исторических изданий после юрисдикционной проверки.</w:t>
            </w:r>
          </w:p>
        </w:tc>
      </w:tr>
      <w:tr>
        <w:trPr>
          <w:cantSplit/>
        </w:trPr>
        <w:tc>
          <w:tcPr>
            <w:tcW w:type="dxa" w:w="2494"/>
            <w:shd w:fill="EAF4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17363A"/>
                <w:sz w:val="16"/>
              </w:rPr>
              <w:t>Главные ограничения</w:t>
            </w:r>
          </w:p>
        </w:tc>
        <w:tc>
          <w:tcPr>
            <w:tcW w:type="dxa" w:w="6917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6DEDE"/>
            </w:tcBorders>
          </w:tcPr>
          <w:p>
            <w:r>
              <w:rPr>
                <w:sz w:val="16"/>
              </w:rPr>
              <w:t>Современные критические издания и переводы; музейные изображения без item-level licences; смешанные права; отсутствие открытого structured text corpus.</w:t>
            </w:r>
          </w:p>
        </w:tc>
      </w:tr>
      <w:tr>
        <w:trPr>
          <w:cantSplit/>
        </w:trPr>
        <w:tc>
          <w:tcPr>
            <w:tcW w:type="dxa" w:w="2494"/>
            <w:shd w:fill="17363A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FFFFFF"/>
                <w:sz w:val="16"/>
              </w:rPr>
              <w:t>Готовность к Codex</w:t>
            </w:r>
          </w:p>
        </w:tc>
        <w:tc>
          <w:tcPr>
            <w:tcW w:type="dxa" w:w="6917"/>
            <w:shd w:fill="E1F1E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6DEDE"/>
            </w:tcBorders>
          </w:tcPr>
          <w:p>
            <w:r>
              <w:rPr>
                <w:b/>
                <w:color w:val="225E45"/>
                <w:sz w:val="16"/>
              </w:rPr>
              <w:t>Да. XLSX использует фиксированную 32-полевую схему, отдельный лист gaps, уникальные record_id и bounded rights/tos_use. Пакет пригоден для последующей дедупликации и нормализации.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41"/>
      </w:tblGrid>
      <w:tr>
        <w:tc>
          <w:tcPr>
            <w:tcW w:type="dxa" w:w="4989"/>
            <w:shd w:fill="0B4F53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9"/>
            <w:shd w:fill="EAF4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3A"/>
                <w:sz w:val="21"/>
              </w:rPr>
              <w:t>Итог</w:t>
            </w:r>
          </w:p>
          <w:p>
            <w:pPr>
              <w:spacing w:after="0"/>
            </w:pPr>
            <w:r>
              <w:t>Результат формирует широкую, законную и честную карту: где читать, скачивать, занимать, покупать, смотреть оригинал, брать metadata и строить собственный исследовательский слой — и где ToS обязан остаться ссылкой, запросить разрешение или провести ручную правовую проверку.</w:t>
            </w:r>
          </w:p>
        </w:tc>
      </w:tr>
    </w:tbl>
    <w:p>
      <w:pPr>
        <w:pStyle w:val="SourceNote"/>
        <w:jc w:val="center"/>
      </w:pPr>
      <w:r>
        <w:t>Проверено: 2026-09-04 · Реестр: ToS_Corpus_Rights_A44_registry.xlsx · Исходный DR не изменён.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607075"/>
        <w:sz w:val="15"/>
      </w:rPr>
      <w:t>ToS Corpus &amp; Rights Registry · A44 · 2026-09-04</w:t>
    </w:r>
    <w:r>
      <w:t xml:space="preserve">  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9A441"/>
      </w:pBdr>
    </w:pPr>
    <w:r>
      <w:rPr>
        <w:rFonts w:ascii="Noto Sans" w:hAnsi="Noto Sans"/>
        <w:b/>
        <w:color w:val="0B4F53"/>
        <w:sz w:val="16"/>
      </w:rPr>
      <w:t>TREE OF SOPHIA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 w:eastAsia="Noto Sans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1736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B4F5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73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" w:hAnsi="Noto Serif" w:eastAsia="Noto Serif"/>
      <w:b/>
      <w:color w:val="1736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0"/>
    </w:pPr>
    <w:rPr>
      <w:rFonts w:asciiTheme="majorHAnsi" w:eastAsiaTheme="majorEastAsia" w:hAnsiTheme="majorHAnsi" w:cstheme="majorBidi" w:ascii="Noto Sans" w:hAnsi="Noto Sans" w:eastAsia="Noto Sans"/>
      <w:b w:val="0"/>
      <w:i/>
      <w:iCs/>
      <w:color w:val="6070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keepNext/>
      <w:spacing w:after="40"/>
    </w:pPr>
    <w:rPr>
      <w:rFonts w:ascii="Noto Sans" w:hAnsi="Noto Sans"/>
      <w:b/>
      <w:color w:val="607075"/>
      <w:sz w:val="16"/>
    </w:rPr>
  </w:style>
  <w:style w:type="paragraph" w:customStyle="1" w:styleId="SourceNote">
    <w:name w:val="Source Note"/>
    <w:pPr>
      <w:spacing w:after="80"/>
    </w:pPr>
    <w:rPr>
      <w:rFonts w:ascii="Noto Sans" w:hAnsi="Noto Sans"/>
      <w:color w:val="6070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ersee.fr/doc/rem_0000-0000_2000_num_1_1_845" TargetMode="External"/><Relationship Id="rId12" Type="http://schemas.openxmlformats.org/officeDocument/2006/relationships/hyperlink" Target="https://www.persee.fr/doc/rem_0000-0000_2000_num_2_1_847" TargetMode="External"/><Relationship Id="rId13" Type="http://schemas.openxmlformats.org/officeDocument/2006/relationships/hyperlink" Target="https://www.persee.fr/doc/rem_0000-0000_2000_num_3_1_849" TargetMode="External"/><Relationship Id="rId14" Type="http://schemas.openxmlformats.org/officeDocument/2006/relationships/hyperlink" Target="https://www.persee.fr/cgu" TargetMode="External"/><Relationship Id="rId15" Type="http://schemas.openxmlformats.org/officeDocument/2006/relationships/hyperlink" Target="https://data.persee.fr/?lang=en" TargetMode="External"/><Relationship Id="rId16" Type="http://schemas.openxmlformats.org/officeDocument/2006/relationships/hyperlink" Target="https://escholarship.org/uc/item/2ts0n9p0" TargetMode="External"/><Relationship Id="rId17" Type="http://schemas.openxmlformats.org/officeDocument/2006/relationships/hyperlink" Target="https://escholarship.org/uc/item/3128r3sw" TargetMode="External"/><Relationship Id="rId18" Type="http://schemas.openxmlformats.org/officeDocument/2006/relationships/hyperlink" Target="https://hal.science/hal-04387537" TargetMode="External"/><Relationship Id="rId19" Type="http://schemas.openxmlformats.org/officeDocument/2006/relationships/hyperlink" Target="https://www.cambridge.org/core/books/meroitic-language-and-writing-system/D1534C93DCCA955D82E0594CE92598FC" TargetMode="External"/><Relationship Id="rId20" Type="http://schemas.openxmlformats.org/officeDocument/2006/relationships/hyperlink" Target="https://www.britishmuseum.org/collection/object/Y_EA1650" TargetMode="External"/><Relationship Id="rId21" Type="http://schemas.openxmlformats.org/officeDocument/2006/relationships/hyperlink" Target="https://www.britishmuseum.org/collection/image/1345043001" TargetMode="External"/><Relationship Id="rId22" Type="http://schemas.openxmlformats.org/officeDocument/2006/relationships/hyperlink" Target="https://commons.wikimedia.org/wiki/File:British_Museum_-_Hamadab_Stela_02.jpg" TargetMode="External"/><Relationship Id="rId23" Type="http://schemas.openxmlformats.org/officeDocument/2006/relationships/hyperlink" Target="https://search.smb.museum/object/obj-757644" TargetMode="External"/><Relationship Id="rId24" Type="http://schemas.openxmlformats.org/officeDocument/2006/relationships/hyperlink" Target="https://collections.penn.museum/collections/object/322910" TargetMode="External"/><Relationship Id="rId25" Type="http://schemas.openxmlformats.org/officeDocument/2006/relationships/hyperlink" Target="https://www.mfa.org/collections/object/stele-of-king-tanyidamani-145116" TargetMode="External"/><Relationship Id="rId26" Type="http://schemas.openxmlformats.org/officeDocument/2006/relationships/hyperlink" Target="https://archive.org/details/karangmeroitic00grifuoft" TargetMode="External"/><Relationship Id="rId27" Type="http://schemas.openxmlformats.org/officeDocument/2006/relationships/hyperlink" Target="https://archive.org/details/archaeologicals19egyp" TargetMode="External"/><Relationship Id="rId28" Type="http://schemas.openxmlformats.org/officeDocument/2006/relationships/hyperlink" Target="https://archive.org/details/archaeologicals20egyp" TargetMode="External"/><Relationship Id="rId29" Type="http://schemas.openxmlformats.org/officeDocument/2006/relationships/hyperlink" Target="https://archive.org/details/merocityethiopia00gars" TargetMode="External"/><Relationship Id="rId30" Type="http://schemas.openxmlformats.org/officeDocument/2006/relationships/hyperlink" Target="https://isdistribution.com/BookDetail.aspx?aId=78862" TargetMode="External"/><Relationship Id="rId31" Type="http://schemas.openxmlformats.org/officeDocument/2006/relationships/hyperlink" Target="https://www.ees-shop.com/products/excavation-memoir-84-the-meroitic-temple-complex-at-qasr-ibrim" TargetMode="External"/><Relationship Id="rId32" Type="http://schemas.openxmlformats.org/officeDocument/2006/relationships/hyperlink" Target="https://catalog.hathitrust.org/Record/100481488" TargetMode="External"/><Relationship Id="rId33" Type="http://schemas.openxmlformats.org/officeDocument/2006/relationships/hyperlink" Target="https://www.homepages.ucl.ac.uk/~tcrndfu/articles/MeroNews27d.pdf" TargetMode="External"/><Relationship Id="rId34" Type="http://schemas.openxmlformats.org/officeDocument/2006/relationships/hyperlink" Target="https://www.ucl.ac.uk/museums-static/digitalegypt/qasr/index.html" TargetMode="External"/><Relationship Id="rId35" Type="http://schemas.openxmlformats.org/officeDocument/2006/relationships/hyperlink" Target="https://marcus.uib.no/instance/book/ubb-msref-0939-078-fon-01" TargetMode="External"/><Relationship Id="rId36" Type="http://schemas.openxmlformats.org/officeDocument/2006/relationships/hyperlink" Target="https://marcus.uib.no/instance/book/ubb-msref-0939-078-fon-02" TargetMode="External"/><Relationship Id="rId37" Type="http://schemas.openxmlformats.org/officeDocument/2006/relationships/hyperlink" Target="https://marcus.uib.no/instance/book/ubb-msref-0939-078-fon-03" TargetMode="External"/><Relationship Id="rId38" Type="http://schemas.openxmlformats.org/officeDocument/2006/relationships/hyperlink" Target="https://marcus.uib.no/instance/book/ubb-msref-0939-078-fon-04" TargetMode="External"/><Relationship Id="rId39" Type="http://schemas.openxmlformats.org/officeDocument/2006/relationships/hyperlink" Target="https://www.unicode.org/Public/UCD/latest/ucd/UnicodeData.txt" TargetMode="External"/><Relationship Id="rId40" Type="http://schemas.openxmlformats.org/officeDocument/2006/relationships/hyperlink" Target="https://www.unicode.org/Public/UCD/latest/ucd/Scripts.txt" TargetMode="External"/><Relationship Id="rId41" Type="http://schemas.openxmlformats.org/officeDocument/2006/relationships/hyperlink" Target="https://www.unicode.org/license.txt" TargetMode="External"/><Relationship Id="rId42" Type="http://schemas.openxmlformats.org/officeDocument/2006/relationships/hyperlink" Target="https://collections.penn.museum/collections/objects/data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