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17324D"/>
            <w:tcMar>
              <w:top w:w="450" w:type="dxa"/>
              <w:start w:w="400" w:type="dxa"/>
              <w:bottom w:w="450" w:type="dxa"/>
              <w:end w:w="4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48"/>
              </w:rPr>
              <w:t>ToS Corpus &amp; Rights Registry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color w:val="D2E4F0"/>
                <w:sz w:val="32"/>
              </w:rPr>
              <w:t>A36 — Мани / манихейство / многоязычный корпус</w:t>
            </w:r>
          </w:p>
        </w:tc>
      </w:tr>
    </w:tbl>
    <w:p/>
    <w:p>
      <w:pPr>
        <w:jc w:val="center"/>
      </w:pPr>
      <w:r>
        <w:rPr>
          <w:rFonts w:ascii="Liberation Serif" w:hAnsi="Liberation Serif"/>
          <w:i/>
          <w:color w:val="375A73"/>
          <w:sz w:val="28"/>
        </w:rPr>
        <w:t>Исследовательский пакет по корпусу и законным путям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ID / статус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A36 / A</w:t>
            </w:r>
          </w:p>
        </w:tc>
      </w:tr>
      <w:tr>
        <w:tc>
          <w:tcPr>
            <w:tcW w:type="dxa" w:w="4986"/>
            <w:shd w:fill="E8EE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Исходный DR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ToS Deep Research_ A36 — Мани _ манихейство _ многоязычный корпус.docx</w:t>
            </w:r>
          </w:p>
        </w:tc>
      </w:tr>
      <w:tr>
        <w:tc>
          <w:tcPr>
            <w:tcW w:type="dxa" w:w="4986"/>
            <w:shd w:fill="E8EE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Проверено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3 сентября 2026</w:t>
            </w:r>
          </w:p>
        </w:tc>
      </w:tr>
      <w:tr>
        <w:tc>
          <w:tcPr>
            <w:tcW w:type="dxa" w:w="4986"/>
            <w:shd w:fill="E8EE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Поставка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87 записей доступа; 18 зафиксированных пробелов</w:t>
            </w:r>
          </w:p>
        </w:tc>
      </w:tr>
    </w:tbl>
    <w:p/>
    <w:p>
      <w:pPr>
        <w:jc w:val="center"/>
      </w:pPr>
      <w:r>
        <w:rPr>
          <w:i/>
          <w:color w:val="646464"/>
          <w:sz w:val="18"/>
        </w:rPr>
        <w:t>Правовая квалификация в реестре — исследовательская, а не юридическое заключение. Положительные теги всегда ограничены полями rights_scope и coverage.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left="227"/>
      </w:pPr>
      <w:r>
        <w:rPr>
          <w:rFonts w:ascii="Liberation Sans" w:hAnsi="Liberation Sans"/>
          <w:b/>
          <w:sz w:val="22"/>
        </w:rPr>
        <w:t>1. Паспорт</w:t>
      </w:r>
    </w:p>
    <w:p>
      <w:pPr>
        <w:ind w:left="227"/>
      </w:pPr>
      <w:r>
        <w:rPr>
          <w:rFonts w:ascii="Liberation Sans" w:hAnsi="Liberation Sans"/>
          <w:b/>
          <w:sz w:val="22"/>
        </w:rPr>
        <w:t>2. Охват корпуса</w:t>
      </w:r>
    </w:p>
    <w:p>
      <w:pPr>
        <w:ind w:left="227"/>
      </w:pPr>
      <w:r>
        <w:rPr>
          <w:rFonts w:ascii="Liberation Sans" w:hAnsi="Liberation Sans"/>
          <w:b/>
          <w:sz w:val="22"/>
        </w:rPr>
        <w:t>3. Лучшие пути доступа</w:t>
      </w:r>
    </w:p>
    <w:p>
      <w:pPr>
        <w:ind w:left="227"/>
      </w:pPr>
      <w:r>
        <w:rPr>
          <w:rFonts w:ascii="Liberation Sans" w:hAnsi="Liberation Sans"/>
          <w:b/>
          <w:sz w:val="22"/>
        </w:rPr>
        <w:t>4. Карта прав и практического использования</w:t>
      </w:r>
    </w:p>
    <w:p>
      <w:pPr>
        <w:ind w:left="227"/>
      </w:pPr>
      <w:r>
        <w:rPr>
          <w:rFonts w:ascii="Liberation Sans" w:hAnsi="Liberation Sans"/>
          <w:b/>
          <w:sz w:val="22"/>
        </w:rPr>
        <w:t>5. Характерные правовые тонкости</w:t>
      </w:r>
    </w:p>
    <w:p>
      <w:pPr>
        <w:ind w:left="227"/>
      </w:pPr>
      <w:r>
        <w:rPr>
          <w:rFonts w:ascii="Liberation Sans" w:hAnsi="Liberation Sans"/>
          <w:b/>
          <w:sz w:val="22"/>
        </w:rPr>
        <w:t>6. Пробелы и дальнейший поиск</w:t>
      </w:r>
    </w:p>
    <w:p>
      <w:pPr>
        <w:ind w:left="227"/>
      </w:pPr>
      <w:r>
        <w:rPr>
          <w:rFonts w:ascii="Liberation Sans" w:hAnsi="Liberation Sans"/>
          <w:b/>
          <w:sz w:val="22"/>
        </w:rPr>
        <w:t>7. Итоговая оценка</w:t>
      </w:r>
    </w:p>
    <w:p>
      <w:pPr>
        <w:pStyle w:val="Heading1"/>
      </w:pPr>
      <w:r>
        <w:t>1. Паспорт</w:t>
      </w:r>
    </w:p>
    <w:p>
      <w:r>
        <w:t>Строка A36 рассматривает манихейство не как одно произведение и не как локальную конфессию, а как трансрегиональный книжный комплекс: утраченный сирийский авторский канон Мани, среднеперсидский Šābuhragān, греческий Cologne Mani Codex, коптскую библиотеку Мединет-Мади, социально-документарный архив Kellis, иранские и тюркские фрагменты Турфана, китайские переводы и внешний архив полемики. Статус и границы мастер-строки не менялись.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top"/>
            <w:shd w:fill="E8EE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ID и название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A36 — Мани / манихейство / многоязычный корпус</w:t>
            </w:r>
          </w:p>
        </w:tc>
      </w:tr>
      <w:tr>
        <w:tc>
          <w:tcPr>
            <w:tcW w:type="dxa" w:w="2381"/>
            <w:vAlign w:val="top"/>
            <w:shd w:fill="E8EE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Исходный статус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</w:t>
            </w:r>
          </w:p>
        </w:tc>
      </w:tr>
      <w:tr>
        <w:tc>
          <w:tcPr>
            <w:tcW w:type="dxa" w:w="2381"/>
            <w:vAlign w:val="top"/>
            <w:shd w:fill="E8EE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Исходный DR-документ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ToS Deep Research_ A36 — Мани _ манихейство _ многоязычный корпус.docx</w:t>
            </w:r>
          </w:p>
        </w:tc>
      </w:tr>
      <w:tr>
        <w:tc>
          <w:tcPr>
            <w:tcW w:type="dxa" w:w="2381"/>
            <w:vAlign w:val="top"/>
            <w:shd w:fill="E8EE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Исторический фокус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ок. 240–1000; более ранние входящие источники и более поздние линии сохранения включены как ореол</w:t>
            </w:r>
          </w:p>
        </w:tc>
      </w:tr>
      <w:tr>
        <w:tc>
          <w:tcPr>
            <w:tcW w:type="dxa" w:w="2381"/>
            <w:vAlign w:val="top"/>
            <w:shd w:fill="E8EE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Языки поиска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русский, английский, немецкий; греческие и латинские названия; сирийская, среднеперсидская, парфянская, согдийская и древнеуйгурская транслитерация; китайские оригинальные заголовки</w:t>
            </w:r>
          </w:p>
        </w:tc>
      </w:tr>
      <w:tr>
        <w:tc>
          <w:tcPr>
            <w:tcW w:type="dxa" w:w="2381"/>
            <w:vAlign w:val="top"/>
            <w:shd w:fill="E8EE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Ядро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семь книг Мани и Šābuhragān; Cologne Mani Codex; Medinet Madi; Kellis; Turfan; китайские тексты; ключевые внешние свидетели</w:t>
            </w:r>
          </w:p>
        </w:tc>
      </w:tr>
      <w:tr>
        <w:tc>
          <w:tcPr>
            <w:tcW w:type="dxa" w:w="2381"/>
            <w:vAlign w:val="top"/>
            <w:shd w:fill="E8EE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Типы объектов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произведения, корпусы, физические свидетели, переводы/издания, цифровые тексты и факсимиле, datasets/API, каталоги и вторичная навигация</w:t>
            </w:r>
          </w:p>
        </w:tc>
      </w:tr>
      <w:tr>
        <w:tc>
          <w:tcPr>
            <w:tcW w:type="dxa" w:w="2381"/>
            <w:vAlign w:val="top"/>
            <w:shd w:fill="E8EE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Масштаб поставки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87 практически различимых способов доступа к 77 названным объектам; 18 пробелов</w:t>
            </w:r>
          </w:p>
        </w:tc>
      </w:tr>
    </w:tbl>
    <w:p>
      <w:pPr>
        <w:pStyle w:val="Heading2"/>
      </w:pPr>
      <w:r>
        <w:t>Метод и пределы проверки</w:t>
      </w:r>
    </w:p>
    <w:p>
      <w:r>
        <w:t>Сначала была восстановлена корпусная карта из DR, затем проведены отдельные проходы по ранним источникам, поздним переводам/комментариям, физическим свидетелям, старым изданиям и современной цифровой инфраструктуре. Каждая строка XLSX описывает один практически отличимый путь доступа. Общий портал не считался заменой item-level страницы; когда постоянная ссылка на предмет не была найдена, это прямо отмечено в verification_status и вынесено в gaps.</w:t>
      </w:r>
    </w:p>
    <w:p>
      <w:r>
        <w:t>Проверка прав разделяла четыре слоя: древнее произведение, современную редакцию/перевод, конкретный цифровой объект и условия платформы. Бесплатное чтение или скачивание нигде не приравнивалось автоматически к праву зеркалирования.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Ядро, извлечённое из DR</w:t>
      </w:r>
    </w:p>
    <w:p>
      <w:pPr>
        <w:pStyle w:val="ListBullet"/>
      </w:pPr>
      <w:r>
        <w:t>Авторский канон Мани: Living/Great Gospel, Treasure of Life, Pragmateia, Book of Mysteries, Book of Giants, Epistles, Psalms/Prayers; исходный сирийский непрерывный текст утрачен.</w:t>
      </w:r>
    </w:p>
    <w:p>
      <w:pPr>
        <w:pStyle w:val="ListBullet"/>
      </w:pPr>
      <w:r>
        <w:t>Šābuhragān — ранняя среднеперсидская книга, связанная с сасанидским двором.</w:t>
      </w:r>
    </w:p>
    <w:p>
      <w:pPr>
        <w:pStyle w:val="ListBullet"/>
      </w:pPr>
      <w:r>
        <w:t>Cologne Mani Codex — греческая биография и ранняя самоинтерпретация движения, P. Köln inv. 04780.</w:t>
      </w:r>
    </w:p>
    <w:p>
      <w:pPr>
        <w:pStyle w:val="ListBullet"/>
      </w:pPr>
      <w:r>
        <w:t>Библиотека Мединет-Мади — коптские Kephalaia, Homilies, Epistles, Acts, Synaxeis и Psalm-Book.</w:t>
      </w:r>
    </w:p>
    <w:p>
      <w:pPr>
        <w:pStyle w:val="ListBullet"/>
      </w:pPr>
      <w:r>
        <w:t>Kellis — литературные и документарные тексты, показывающие повседневную письменность общины.</w:t>
      </w:r>
    </w:p>
    <w:p>
      <w:pPr>
        <w:pStyle w:val="ListBullet"/>
      </w:pPr>
      <w:r>
        <w:t>Турфан — фрагментарные среднеперсидские, парфянские, согдийские и древнеуйгурские тексты и книжное искусство.</w:t>
      </w:r>
    </w:p>
    <w:p>
      <w:pPr>
        <w:pStyle w:val="ListBullet"/>
      </w:pPr>
      <w:r>
        <w:t>Китайские тексты — T 2140, T 2141A, T 2141B и соответствующие дуньхуанские свидетели.</w:t>
      </w:r>
    </w:p>
    <w:p>
      <w:pPr>
        <w:pStyle w:val="ListBullet"/>
      </w:pPr>
      <w:r>
        <w:t>Внешний архив — Acts of Archelaus, Августин, Ефрем, Тит Бострийский, Александр Ликопольский, Феодор бар Конаи, al-Nadīm и al-Bīrūnī.</w:t>
      </w:r>
    </w:p>
    <w:p>
      <w:pPr>
        <w:pStyle w:val="Heading2"/>
      </w:pPr>
      <w:r>
        <w:t>2.2. Что добавлено веб-поиском</w:t>
      </w:r>
    </w:p>
    <w:p>
      <w:r>
        <w:t>Расширение принесло не только новые ссылки, но и новые правовые слои: официальное открытое факсимиле CMC под CC BY 4.0; 384-гигабайтный мультиспектральный dataset Manichaean Epistles под CC BY 4.0; открытые EpiDoc/linked-data записи Kellis на Papyri.info под CC BY 3.0; параллельные китайские слои CBETA и Wikisource; current-release ресурсы IAMS 2026; современные тома Corpus Fontium Manichaeorum; item-level страницы IDP и Леон-Леви для рукописных предшественников.</w:t>
      </w:r>
    </w:p>
    <w:p>
      <w:pPr>
        <w:pStyle w:val="Heading2"/>
      </w:pPr>
      <w:r>
        <w:t>2.3. Количественный профиль без смешения «произведений» и «ссылок»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</w:tcPr>
          <w:p>
            <w:r>
              <w:rPr>
                <w:color w:val="FFFFFF"/>
              </w:rPr>
              <w:t>Класс релевантности</w:t>
            </w:r>
          </w:p>
        </w:tc>
        <w:tc>
          <w:tcPr>
            <w:tcW w:type="dxa" w:w="3324"/>
            <w:shd w:fill="17324D"/>
          </w:tcPr>
          <w:p>
            <w:r>
              <w:rPr>
                <w:color w:val="FFFFFF"/>
              </w:rPr>
              <w:t>Записей доступа</w:t>
            </w:r>
          </w:p>
        </w:tc>
        <w:tc>
          <w:tcPr>
            <w:tcW w:type="dxa" w:w="3324"/>
            <w:shd w:fill="17324D"/>
          </w:tcPr>
          <w:p>
            <w:r>
              <w:rPr>
                <w:color w:val="FFFFFF"/>
              </w:rPr>
              <w:t>Что это означает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24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центральные книги, корпусы и свидетели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same_corpus_or_tradition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прямые члены той же текстовой/литургической семьи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antecedent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конкретные ранние источники и среда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continuation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17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восточные переводы и новые фазы корпуса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transmission_or_preservation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полемика, доксография и позднее сохранение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supporting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издания, словари и исследовательские опоры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infrastructure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порталы, datasets и каталоги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secondary_navigation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справочные страницы для идентификации</w:t>
            </w:r>
          </w:p>
        </w:tc>
      </w:tr>
    </w:tbl>
    <w:p>
      <w:r>
        <w:t>Итого: 87 записей доступа. Из них 58 уникальных названий относятся к первичным текстам, свидетелям, прямым продолжениям, предшественникам или каналам сохранения; остальные — инфраструктура и навигация. Несколько записей на один объект отражают реальные различия: язык, перевод, репозиторий, полноту и правовой режим.</w:t>
      </w:r>
    </w:p>
    <w:p>
      <w:pPr>
        <w:pStyle w:val="Heading2"/>
      </w:pPr>
      <w:r>
        <w:t>2.4. Хронологический ореол</w:t>
      </w:r>
    </w:p>
    <w:p>
      <w:pPr>
        <w:pStyle w:val="Heading3"/>
      </w:pPr>
      <w:r>
        <w:t>Назад во времени</w:t>
      </w:r>
    </w:p>
    <w:p>
      <w:pPr>
        <w:pStyle w:val="ListBullet"/>
      </w:pPr>
      <w:r>
        <w:t>Арамейский Book of Giants из Кумрана (4Q203 и 4Q531) включён как прямой литературный предшественник манианского Book of Giants, а не как общая «иудейская параллель».</w:t>
      </w:r>
    </w:p>
    <w:p>
      <w:pPr>
        <w:pStyle w:val="ListBullet"/>
      </w:pPr>
      <w:r>
        <w:t>Элхасаитский материал у Ипполита включён как контекст общины, в которой CMC помещает юного Мани; это социально-герменевтический antecedent, а не часть манихейского канона.</w:t>
      </w:r>
    </w:p>
    <w:p>
      <w:pPr>
        <w:pStyle w:val="Heading3"/>
      </w:pPr>
      <w:r>
        <w:t>Вперёд во времени</w:t>
      </w:r>
    </w:p>
    <w:p>
      <w:pPr>
        <w:pStyle w:val="ListBullet"/>
      </w:pPr>
      <w:r>
        <w:t>Коптские редакционные и школьные слои Мединет-Мади развивают и нормируют раннюю доктрину в жанрах глав, гомилий, псалмов и собраний.</w:t>
      </w:r>
    </w:p>
    <w:p>
      <w:pPr>
        <w:pStyle w:val="ListBullet"/>
      </w:pPr>
      <w:r>
        <w:t>Турфанские иранские, согдийские и древнеуйгурские тексты показывают продолжение корпуса как переводную и ритуальную традицию VIII–XI веков.</w:t>
      </w:r>
    </w:p>
    <w:p>
      <w:pPr>
        <w:pStyle w:val="ListBullet"/>
      </w:pPr>
      <w:r>
        <w:t>Китайские T 2140/2141A/2141B и их рукописные свидетели демонстрируют семантическую адаптацию к буддийскому словарю.</w:t>
      </w:r>
    </w:p>
    <w:p>
      <w:pPr>
        <w:pStyle w:val="ListBullet"/>
      </w:pPr>
      <w:r>
        <w:t>Латинская, сирийская, греческая и исламская полемика сохраняет названия книг, цитаты, космологические схемы и церковную практику, хотя требует поправки на враждебную перспективу.</w:t>
      </w:r>
    </w:p>
    <w:p>
      <w:pPr>
        <w:pStyle w:val="Heading1"/>
      </w:pPr>
      <w:r>
        <w:t>3. Лучшие пути доступа</w:t>
      </w:r>
    </w:p>
    <w:p>
      <w:r>
        <w:t>Ниже перечислены не все 87 строк, а оптимальные маршруты по главным корпусам. Полные URL, прямые файлы, rights_scope, coverage и теги ToS находятся в XLSX.</w:t>
      </w:r>
    </w:p>
    <w:p>
      <w:pPr>
        <w:pStyle w:val="Heading2"/>
      </w:pPr>
      <w:r>
        <w:t>3.1. Авторский канон Мани</w:t>
      </w:r>
    </w:p>
    <w:p>
      <w:pPr>
        <w:pStyle w:val="ListBullet"/>
      </w:pPr>
      <w:r>
        <w:rPr>
          <w:b/>
        </w:rPr>
        <w:t xml:space="preserve">A36-R002: </w:t>
      </w:r>
      <w:hyperlink r:id="rId11">
        <w:r>
          <w:rPr>
            <w:color w:val="1A5E8A"/>
            <w:u w:val="single"/>
            <w:rStyle w:val="Hyperlink"/>
          </w:rPr>
          <w:t>IAMS — The Manichaean Canon</w:t>
        </w:r>
      </w:hyperlink>
      <w:r>
        <w:t xml:space="preserve"> — лучший бесплатный навигационный вход к составу канона; PDF свободно читается/скачивается, но лицензия повторного использования не найдена.</w:t>
      </w:r>
    </w:p>
    <w:p>
      <w:pPr>
        <w:pStyle w:val="ListBullet"/>
      </w:pPr>
      <w:r>
        <w:rPr>
          <w:b/>
        </w:rPr>
        <w:t xml:space="preserve">A36-R003: </w:t>
      </w:r>
      <w:hyperlink r:id="rId12">
        <w:r>
          <w:rPr>
            <w:color w:val="1A5E8A"/>
            <w:u w:val="single"/>
            <w:rStyle w:val="Hyperlink"/>
          </w:rPr>
          <w:t>IAMS — Šābuhragān</w:t>
        </w:r>
      </w:hyperlink>
      <w:r>
        <w:t xml:space="preserve"> — бесплатный современный фрагментарный корпус; права на компиляцию требуют проверки.</w:t>
      </w:r>
    </w:p>
    <w:p>
      <w:pPr>
        <w:pStyle w:val="ListBullet"/>
      </w:pPr>
      <w:r>
        <w:rPr>
          <w:b/>
        </w:rPr>
        <w:t xml:space="preserve">A36-R007: </w:t>
      </w:r>
      <w:hyperlink r:id="rId11">
        <w:r>
          <w:rPr>
            <w:color w:val="1A5E8A"/>
            <w:u w:val="single"/>
            <w:rStyle w:val="Hyperlink"/>
          </w:rPr>
          <w:t>IAMS — Book of Giants resource</w:t>
        </w:r>
      </w:hyperlink>
      <w:r>
        <w:t xml:space="preserve"> — лучший бесплатный единый исследовательский пакет по манианской книге; item-level лицензия не установлена.</w:t>
      </w:r>
    </w:p>
    <w:p>
      <w:pPr>
        <w:pStyle w:val="ListBullet"/>
      </w:pPr>
      <w:r>
        <w:rPr>
          <w:b/>
        </w:rPr>
        <w:t xml:space="preserve">A36-R021: </w:t>
      </w:r>
      <w:hyperlink r:id="rId13">
        <w:r>
          <w:rPr>
            <w:color w:val="1A5E8A"/>
            <w:u w:val="single"/>
            <w:rStyle w:val="Hyperlink"/>
          </w:rPr>
          <w:t>Brepols — Mani’s Living Gospel and the Ewangelyōnīg Hymns</w:t>
        </w:r>
      </w:hyperlink>
      <w:r>
        <w:t xml:space="preserve"> — лучший текущий научный вариант для реконструкции Living Gospel; покупка/институциональный доступ.</w:t>
      </w:r>
    </w:p>
    <w:p>
      <w:r>
        <w:t>Для Treasure of Life, Pragmateia и Book of Mysteries непрерывный оригинальный текст и полный открытый перевод не найдены. Они сохранены в gaps как отдельные core-объекты, а не растворены в общем ярлыке «канон».</w:t>
      </w:r>
    </w:p>
    <w:p>
      <w:pPr>
        <w:pStyle w:val="Heading2"/>
      </w:pPr>
      <w:r>
        <w:t>3.2. Cologne Mani Codex</w:t>
      </w:r>
    </w:p>
    <w:p>
      <w:pPr>
        <w:pStyle w:val="ListBullet"/>
      </w:pPr>
      <w:r>
        <w:rPr>
          <w:b/>
        </w:rPr>
        <w:t xml:space="preserve">A36-R018: </w:t>
      </w:r>
      <w:hyperlink r:id="rId14">
        <w:r>
          <w:rPr>
            <w:color w:val="1A5E8A"/>
            <w:u w:val="single"/>
            <w:rStyle w:val="Hyperlink"/>
          </w:rPr>
          <w:t>официальное факсимиле Papyrussammlung Köln</w:t>
        </w:r>
      </w:hyperlink>
      <w:r>
        <w:t xml:space="preserve"> — лучший оригинал, бесплатное чтение/скачивание, CC BY 4.0; одновременно самый чистый слой для OCR и собственного перевода.</w:t>
      </w:r>
    </w:p>
    <w:p>
      <w:pPr>
        <w:pStyle w:val="ListBullet"/>
      </w:pPr>
      <w:r>
        <w:rPr>
          <w:b/>
        </w:rPr>
        <w:t xml:space="preserve">A36-R020: </w:t>
      </w:r>
      <w:hyperlink r:id="rId15">
        <w:r>
          <w:rPr>
            <w:color w:val="1A5E8A"/>
            <w:u w:val="single"/>
            <w:rStyle w:val="Hyperlink"/>
          </w:rPr>
          <w:t>Koenen / Römer, Der Kölner Mani-Kodex</w:t>
        </w:r>
      </w:hyperlink>
      <w:r>
        <w:t xml:space="preserve"> — лучший полный критический текст и немецкий перевод; защищённое издание.</w:t>
      </w:r>
    </w:p>
    <w:p>
      <w:pPr>
        <w:pStyle w:val="ListBullet"/>
      </w:pPr>
      <w:r>
        <w:rPr>
          <w:b/>
        </w:rPr>
        <w:t xml:space="preserve">A36-R019: </w:t>
      </w:r>
      <w:hyperlink r:id="rId11">
        <w:r>
          <w:rPr>
            <w:color w:val="1A5E8A"/>
            <w:u w:val="single"/>
            <w:rStyle w:val="Hyperlink"/>
          </w:rPr>
          <w:t>IAMS English CMC resource</w:t>
        </w:r>
      </w:hyperlink>
      <w:r>
        <w:t xml:space="preserve"> — бесплатное современное чтение, но не доказанное право на зеркалирование.</w:t>
      </w:r>
    </w:p>
    <w:p>
      <w:pPr>
        <w:pStyle w:val="Heading2"/>
      </w:pPr>
      <w:r>
        <w:t>3.3. Medinet Madi</w:t>
      </w:r>
    </w:p>
    <w:p>
      <w:pPr>
        <w:pStyle w:val="ListBullet"/>
      </w:pPr>
      <w:r>
        <w:rPr>
          <w:b/>
        </w:rPr>
        <w:t xml:space="preserve">A36-R028: </w:t>
      </w:r>
      <w:hyperlink r:id="rId16">
        <w:r>
          <w:rPr>
            <w:color w:val="1A5E8A"/>
            <w:u w:val="single"/>
            <w:rStyle w:val="Hyperlink"/>
          </w:rPr>
          <w:t>Hamburg FDR — Multispectral Data of the Manichaean Epistles</w:t>
        </w:r>
      </w:hyperlink>
      <w:r>
        <w:t xml:space="preserve"> — лучший открытый оригинал: CC BY 4.0, крупный dataset, пригоден для OCR/индексации/embeddings в пределах P 15998 и связанных фрагментов.</w:t>
      </w:r>
    </w:p>
    <w:p>
      <w:pPr>
        <w:pStyle w:val="ListBullet"/>
      </w:pPr>
      <w:r>
        <w:rPr>
          <w:b/>
        </w:rPr>
        <w:t xml:space="preserve">A36-R029–R031: </w:t>
      </w:r>
      <w:hyperlink r:id="rId17">
        <w:r>
          <w:rPr>
            <w:color w:val="1A5E8A"/>
            <w:u w:val="single"/>
            <w:rStyle w:val="Hyperlink"/>
          </w:rPr>
          <w:t>Chester Beatty viewers</w:t>
        </w:r>
      </w:hyperlink>
      <w:r>
        <w:t xml:space="preserve"> — лучший бесплатный визуальный доступ к отдельным дублинским свидетелям; права на изображения и полнота viewer требуют ручной проверки.</w:t>
      </w:r>
    </w:p>
    <w:p>
      <w:pPr>
        <w:pStyle w:val="ListBullet"/>
      </w:pPr>
      <w:r>
        <w:rPr>
          <w:b/>
        </w:rPr>
        <w:t xml:space="preserve">A36-R032: </w:t>
      </w:r>
      <w:hyperlink r:id="rId18">
        <w:r>
          <w:rPr>
            <w:color w:val="1A5E8A"/>
            <w:u w:val="single"/>
            <w:rStyle w:val="Hyperlink"/>
          </w:rPr>
          <w:t>Allberry, A Manichaean Psalm-Book, Part II</w:t>
        </w:r>
      </w:hyperlink>
      <w:r>
        <w:t xml:space="preserve"> — библиотечная выдача после регистрации; не открытый файл.</w:t>
      </w:r>
    </w:p>
    <w:p>
      <w:pPr>
        <w:pStyle w:val="ListBullet"/>
      </w:pPr>
      <w:r>
        <w:rPr>
          <w:b/>
        </w:rPr>
        <w:t xml:space="preserve">A36-R033: </w:t>
      </w:r>
      <w:hyperlink r:id="rId19">
        <w:r>
          <w:rPr>
            <w:color w:val="1A5E8A"/>
            <w:u w:val="single"/>
            <w:rStyle w:val="Hyperlink"/>
          </w:rPr>
          <w:t>Richter, The Manichaean Psalm-Book, Part I</w:t>
        </w:r>
      </w:hyperlink>
      <w:r>
        <w:t xml:space="preserve"> — современный критический вариант; покупка/институциональный доступ.</w:t>
      </w:r>
    </w:p>
    <w:p>
      <w:pPr>
        <w:pStyle w:val="ListBullet"/>
      </w:pPr>
      <w:r>
        <w:rPr>
          <w:b/>
        </w:rPr>
        <w:t xml:space="preserve">A36-R034: </w:t>
      </w:r>
      <w:hyperlink r:id="rId20">
        <w:r>
          <w:rPr>
            <w:color w:val="1A5E8A"/>
            <w:u w:val="single"/>
            <w:rStyle w:val="Hyperlink"/>
          </w:rPr>
          <w:t>Gardner, The Kephalaia of the Teacher</w:t>
        </w:r>
      </w:hyperlink>
      <w:r>
        <w:t xml:space="preserve"> — лучший английский научный вход к Kephalaia I; защищён.</w:t>
      </w:r>
    </w:p>
    <w:p>
      <w:pPr>
        <w:pStyle w:val="Heading2"/>
      </w:pPr>
      <w:r>
        <w:t>3.4. Kellis</w:t>
      </w:r>
    </w:p>
    <w:p>
      <w:pPr>
        <w:pStyle w:val="ListBullet"/>
      </w:pPr>
      <w:r>
        <w:rPr>
          <w:b/>
        </w:rPr>
        <w:t xml:space="preserve">A36-R037: </w:t>
      </w:r>
      <w:hyperlink r:id="rId21">
        <w:r>
          <w:rPr>
            <w:color w:val="1A5E8A"/>
            <w:u w:val="single"/>
            <w:rStyle w:val="Hyperlink"/>
          </w:rPr>
          <w:t>P.Kell.Gr. 98 / TM 64303</w:t>
        </w:r>
      </w:hyperlink>
      <w:r>
        <w:t xml:space="preserve"> — открытая транскрипция и TEI/linked data под CC BY 3.0.</w:t>
      </w:r>
    </w:p>
    <w:p>
      <w:pPr>
        <w:pStyle w:val="ListBullet"/>
      </w:pPr>
      <w:r>
        <w:rPr>
          <w:b/>
        </w:rPr>
        <w:t xml:space="preserve">A36-R038: </w:t>
      </w:r>
      <w:hyperlink r:id="rId22">
        <w:r>
          <w:rPr>
            <w:color w:val="1A5E8A"/>
            <w:u w:val="single"/>
            <w:rStyle w:val="Hyperlink"/>
          </w:rPr>
          <w:t>P.Kell.Gr. 94 / TM 64437</w:t>
        </w:r>
      </w:hyperlink>
      <w:r>
        <w:t xml:space="preserve"> — второй открытый Greek-fragment route с теми же условиями.</w:t>
      </w:r>
    </w:p>
    <w:p>
      <w:pPr>
        <w:pStyle w:val="ListBullet"/>
      </w:pPr>
      <w:r>
        <w:rPr>
          <w:b/>
        </w:rPr>
        <w:t xml:space="preserve">A36-R039: </w:t>
      </w:r>
      <w:hyperlink r:id="rId23">
        <w:r>
          <w:rPr>
            <w:color w:val="1A5E8A"/>
            <w:u w:val="single"/>
            <w:rStyle w:val="Hyperlink"/>
          </w:rPr>
          <w:t>Ancient Kellis publications</w:t>
        </w:r>
      </w:hyperlink>
      <w:r>
        <w:t xml:space="preserve"> — лучший навигатор к полным томам и Coptic sigla.</w:t>
      </w:r>
    </w:p>
    <w:p>
      <w:pPr>
        <w:pStyle w:val="ListBullet"/>
      </w:pPr>
      <w:r>
        <w:rPr>
          <w:b/>
        </w:rPr>
        <w:t xml:space="preserve">A36-R040: </w:t>
      </w:r>
      <w:hyperlink r:id="rId24">
        <w:r>
          <w:rPr>
            <w:color w:val="1A5E8A"/>
            <w:u w:val="single"/>
            <w:rStyle w:val="Hyperlink"/>
          </w:rPr>
          <w:t>Kellis Literary Texts I — Google Books preview</w:t>
        </w:r>
      </w:hyperlink>
      <w:r>
        <w:t xml:space="preserve"> — частичное ознакомление; полный текст остаётся издательским/библиотечным.</w:t>
      </w:r>
    </w:p>
    <w:p>
      <w:r>
        <w:t>Полный машиночитаемый Coptic Kellis corpus с ясной лицензией не найден — это один из главных пробелов A36.</w:t>
      </w:r>
    </w:p>
    <w:p>
      <w:pPr>
        <w:pStyle w:val="Heading2"/>
      </w:pPr>
      <w:r>
        <w:t>3.5. Turfan и древнеуйгурская линия</w:t>
      </w:r>
    </w:p>
    <w:p>
      <w:pPr>
        <w:pStyle w:val="ListBullet"/>
      </w:pPr>
      <w:r>
        <w:rPr>
          <w:b/>
        </w:rPr>
        <w:t xml:space="preserve">A36-R042: </w:t>
      </w:r>
      <w:hyperlink r:id="rId25">
        <w:r>
          <w:rPr>
            <w:color w:val="1A5E8A"/>
            <w:u w:val="single"/>
            <w:rStyle w:val="Hyperlink"/>
          </w:rPr>
          <w:t>Digital Turfan Archive</w:t>
        </w:r>
      </w:hyperlink>
      <w:r>
        <w:t xml:space="preserve"> — лучший официальный факсимильный каталог; изображения можно изучать, но публикация/передача репродукций регулируется разрешением.</w:t>
      </w:r>
    </w:p>
    <w:p>
      <w:pPr>
        <w:pStyle w:val="ListBullet"/>
      </w:pPr>
      <w:r>
        <w:rPr>
          <w:b/>
        </w:rPr>
        <w:t xml:space="preserve">A36-R013: </w:t>
      </w:r>
      <w:hyperlink r:id="rId26">
        <w:r>
          <w:rPr>
            <w:color w:val="1A5E8A"/>
            <w:u w:val="single"/>
            <w:rStyle w:val="Hyperlink"/>
          </w:rPr>
          <w:t>Database of Manichaean Texts 2026.1</w:t>
        </w:r>
      </w:hyperlink>
      <w:r>
        <w:t xml:space="preserve"> — лучший бесплатный current-release discovery layer, но без найденной лицензии reuse.</w:t>
      </w:r>
    </w:p>
    <w:p>
      <w:pPr>
        <w:pStyle w:val="ListBullet"/>
      </w:pPr>
      <w:r>
        <w:rPr>
          <w:b/>
        </w:rPr>
        <w:t xml:space="preserve">A36-R014: </w:t>
      </w:r>
      <w:hyperlink r:id="rId27">
        <w:r>
          <w:rPr>
            <w:color w:val="1A5E8A"/>
            <w:u w:val="single"/>
            <w:rStyle w:val="Hyperlink"/>
          </w:rPr>
          <w:t>Old Turkic Doctrinal Texts 2026.2</w:t>
        </w:r>
      </w:hyperlink>
      <w:r>
        <w:t xml:space="preserve"> — лучший бесплатный consolidated reading route для древнеуйгурской доктринальной линии.</w:t>
      </w:r>
    </w:p>
    <w:p>
      <w:pPr>
        <w:pStyle w:val="ListBullet"/>
      </w:pPr>
      <w:r>
        <w:rPr>
          <w:b/>
        </w:rPr>
        <w:t xml:space="preserve">A36-R047: </w:t>
      </w:r>
      <w:hyperlink r:id="rId28">
        <w:r>
          <w:rPr>
            <w:color w:val="1A5E8A"/>
            <w:u w:val="single"/>
            <w:rStyle w:val="Hyperlink"/>
          </w:rPr>
          <w:t>A Manichaean Prayer and Confession Book</w:t>
        </w:r>
      </w:hyperlink>
      <w:r>
        <w:t xml:space="preserve"> — лучший современный критический путь к иранскому молитвенно-исповедному корпусу; защищён.</w:t>
      </w:r>
    </w:p>
    <w:p>
      <w:pPr>
        <w:pStyle w:val="ListBullet"/>
      </w:pPr>
      <w:r>
        <w:rPr>
          <w:b/>
        </w:rPr>
        <w:t xml:space="preserve">A36-R048: </w:t>
      </w:r>
      <w:hyperlink r:id="rId29">
        <w:r>
          <w:rPr>
            <w:color w:val="1A5E8A"/>
            <w:u w:val="single"/>
            <w:rStyle w:val="Hyperlink"/>
          </w:rPr>
          <w:t>Uygur Manichaean Texts II: Liturgical Texts</w:t>
        </w:r>
      </w:hyperlink>
      <w:r>
        <w:t xml:space="preserve"> — современный критический Old Turkic corpus; покупка/институциональный доступ.</w:t>
      </w:r>
    </w:p>
    <w:p>
      <w:pPr>
        <w:pStyle w:val="Heading2"/>
      </w:pPr>
      <w:r>
        <w:t>3.6. Китайский корпус</w:t>
      </w:r>
    </w:p>
    <w:p>
      <w:pPr>
        <w:pStyle w:val="ListBullet"/>
      </w:pPr>
      <w:r>
        <w:rPr>
          <w:b/>
        </w:rPr>
        <w:t xml:space="preserve">A36-R054–R057: </w:t>
      </w:r>
      <w:hyperlink r:id="rId30">
        <w:r>
          <w:rPr>
            <w:color w:val="1A5E8A"/>
            <w:u w:val="single"/>
            <w:rStyle w:val="Hyperlink"/>
          </w:rPr>
          <w:t>Chinese Wikisource Manichaean texts</w:t>
        </w:r>
      </w:hyperlink>
      <w:r>
        <w:t xml:space="preserve"> — наиболее свободный полнотекстовый слой: ancient work public domain, transcription CC BY-SA 4.0, удобные EPUB/PDF exports.</w:t>
      </w:r>
    </w:p>
    <w:p>
      <w:pPr>
        <w:pStyle w:val="ListBullet"/>
      </w:pPr>
      <w:r>
        <w:rPr>
          <w:b/>
        </w:rPr>
        <w:t xml:space="preserve">A36-R051–R053: </w:t>
      </w:r>
      <w:hyperlink r:id="rId31">
        <w:r>
          <w:rPr>
            <w:color w:val="1A5E8A"/>
            <w:u w:val="single"/>
            <w:rStyle w:val="Hyperlink"/>
          </w:rPr>
          <w:t>CBETA T 2140 / T 2141A / T 2141B</w:t>
        </w:r>
      </w:hyperlink>
      <w:r>
        <w:t xml:space="preserve"> — лучший многоформатный noncommercial corpus: HTML, TXT, PDF, EPUB, DOCX/ODT; CC BY-NC-SA 4.0 по умолчанию и дополнительные version/alteration conditions.</w:t>
      </w:r>
    </w:p>
    <w:p>
      <w:pPr>
        <w:pStyle w:val="ListBullet"/>
      </w:pPr>
      <w:r>
        <w:rPr>
          <w:b/>
        </w:rPr>
        <w:t xml:space="preserve">A36-R058: </w:t>
      </w:r>
      <w:hyperlink r:id="rId32">
        <w:r>
          <w:rPr>
            <w:color w:val="1A5E8A"/>
            <w:u w:val="single"/>
            <w:rStyle w:val="Hyperlink"/>
          </w:rPr>
          <w:t>IDP S.2659 Hymnscroll</w:t>
        </w:r>
      </w:hyperlink>
      <w:r>
        <w:t xml:space="preserve"> — лучший физический свидетель для 下部讚; item-level image rights mixed, IIIF endpoint не работал при проверке.</w:t>
      </w:r>
    </w:p>
    <w:p>
      <w:pPr>
        <w:pStyle w:val="ListBullet"/>
      </w:pPr>
      <w:r>
        <w:rPr>
          <w:b/>
        </w:rPr>
        <w:t xml:space="preserve">A36-R059: </w:t>
      </w:r>
      <w:hyperlink r:id="rId33">
        <w:r>
          <w:rPr>
            <w:color w:val="1A5E8A"/>
            <w:u w:val="single"/>
            <w:rStyle w:val="Hyperlink"/>
          </w:rPr>
          <w:t>IDP S.3969 Compendium</w:t>
        </w:r>
      </w:hyperlink>
      <w:r>
        <w:t xml:space="preserve"> — рукописный оригинал Compendium; direct fetch был ограничен, поэтому reuse не повышен выше review-required.</w:t>
      </w:r>
    </w:p>
    <w:p>
      <w:pPr>
        <w:pStyle w:val="ListBullet"/>
      </w:pPr>
      <w:r>
        <w:rPr>
          <w:b/>
        </w:rPr>
        <w:t xml:space="preserve">A36-R061: </w:t>
      </w:r>
      <w:hyperlink r:id="rId34">
        <w:r>
          <w:rPr>
            <w:color w:val="1A5E8A"/>
            <w:u w:val="single"/>
            <w:rStyle w:val="Hyperlink"/>
          </w:rPr>
          <w:t>Tractatus Manichaicus Sinicus</w:t>
        </w:r>
      </w:hyperlink>
      <w:r>
        <w:t xml:space="preserve"> — лучший критический научный вариант для китайского Treatise; защищён.</w:t>
      </w:r>
    </w:p>
    <w:p>
      <w:pPr>
        <w:pStyle w:val="Heading2"/>
      </w:pPr>
      <w:r>
        <w:t>3.7. Предшественники и внешний архив</w:t>
      </w:r>
    </w:p>
    <w:p>
      <w:pPr>
        <w:pStyle w:val="ListBullet"/>
      </w:pPr>
      <w:r>
        <w:rPr>
          <w:b/>
        </w:rPr>
        <w:t xml:space="preserve">A36-R063–R064: </w:t>
      </w:r>
      <w:hyperlink r:id="rId35">
        <w:r>
          <w:rPr>
            <w:color w:val="1A5E8A"/>
            <w:u w:val="single"/>
            <w:rStyle w:val="Hyperlink"/>
          </w:rPr>
          <w:t>Leon Levy Dead Sea Scrolls Digital Library — 4Q203/4Q531</w:t>
        </w:r>
      </w:hyperlink>
      <w:r>
        <w:t xml:space="preserve"> — лучший оригинал прямого Enochic antecedent, но цифровые изображения нельзя копировать/хранить публично без разрешения.</w:t>
      </w:r>
    </w:p>
    <w:p>
      <w:pPr>
        <w:pStyle w:val="ListBullet"/>
      </w:pPr>
      <w:r>
        <w:rPr>
          <w:b/>
        </w:rPr>
        <w:t xml:space="preserve">A36-R066: </w:t>
      </w:r>
      <w:hyperlink r:id="rId36">
        <w:r>
          <w:rPr>
            <w:color w:val="1A5E8A"/>
            <w:u w:val="single"/>
            <w:rStyle w:val="Hyperlink"/>
          </w:rPr>
          <w:t>CCEL — Acts of Archelaus</w:t>
        </w:r>
      </w:hyperlink>
      <w:r>
        <w:t xml:space="preserve"> — лучший бесплатный полный английский текст и XML download.</w:t>
      </w:r>
    </w:p>
    <w:p>
      <w:pPr>
        <w:pStyle w:val="ListBullet"/>
      </w:pPr>
      <w:r>
        <w:rPr>
          <w:b/>
        </w:rPr>
        <w:t xml:space="preserve">A36-R067: </w:t>
      </w:r>
      <w:hyperlink r:id="rId37">
        <w:r>
          <w:rPr>
            <w:color w:val="1A5E8A"/>
            <w:u w:val="single"/>
            <w:rStyle w:val="Hyperlink"/>
          </w:rPr>
          <w:t>Beeson, Acta Archelai (1906)</w:t>
        </w:r>
      </w:hyperlink>
      <w:r>
        <w:t xml:space="preserve"> — лучший старый original-language route, PDF/OCR; public-domain вывод по дате ограничен юрисдикцией.</w:t>
      </w:r>
    </w:p>
    <w:p>
      <w:pPr>
        <w:pStyle w:val="ListBullet"/>
      </w:pPr>
      <w:r>
        <w:rPr>
          <w:b/>
        </w:rPr>
        <w:t xml:space="preserve">A36-R069–R076: </w:t>
      </w:r>
      <w:hyperlink r:id="rId38">
        <w:r>
          <w:rPr>
            <w:color w:val="1A5E8A"/>
            <w:u w:val="single"/>
            <w:rStyle w:val="Hyperlink"/>
          </w:rPr>
          <w:t>Augustine anti-Manichaean works</w:t>
        </w:r>
      </w:hyperlink>
      <w:r>
        <w:t xml:space="preserve"> — полный бесплатный public-domain English layer; сайт остаётся link-only.</w:t>
      </w:r>
    </w:p>
    <w:p>
      <w:pPr>
        <w:pStyle w:val="ListBullet"/>
      </w:pPr>
      <w:r>
        <w:rPr>
          <w:b/>
        </w:rPr>
        <w:t xml:space="preserve">A36-R077–R080: </w:t>
      </w:r>
      <w:hyperlink r:id="rId39">
        <w:r>
          <w:rPr>
            <w:color w:val="1A5E8A"/>
            <w:u w:val="single"/>
            <w:rStyle w:val="Hyperlink"/>
          </w:rPr>
          <w:t>Syriac/Greek external witnesses</w:t>
        </w:r>
      </w:hyperlink>
      <w:r>
        <w:t xml:space="preserve"> — Ephrem, Theodore bar Konai, Titus; старые издания доступны для скачивания, но digital-object/global rights требуют проверки.</w:t>
      </w:r>
    </w:p>
    <w:p>
      <w:pPr>
        <w:pStyle w:val="ListBullet"/>
      </w:pPr>
      <w:r>
        <w:rPr>
          <w:b/>
        </w:rPr>
        <w:t xml:space="preserve">A36-R081: </w:t>
      </w:r>
      <w:hyperlink r:id="rId40">
        <w:r>
          <w:rPr>
            <w:color w:val="1A5E8A"/>
            <w:u w:val="single"/>
            <w:rStyle w:val="Hyperlink"/>
          </w:rPr>
          <w:t>Alexander of Lycopolis</w:t>
        </w:r>
      </w:hyperlink>
      <w:r>
        <w:t xml:space="preserve"> — наиболее свободный старый пакет: item explicitly Public Domain Mark 1.0.</w:t>
      </w:r>
    </w:p>
    <w:p>
      <w:pPr>
        <w:pStyle w:val="ListBullet"/>
      </w:pPr>
      <w:r>
        <w:rPr>
          <w:b/>
        </w:rPr>
        <w:t xml:space="preserve">A36-R083: </w:t>
      </w:r>
      <w:hyperlink r:id="rId41">
        <w:r>
          <w:rPr>
            <w:color w:val="1A5E8A"/>
            <w:u w:val="single"/>
            <w:rStyle w:val="Hyperlink"/>
          </w:rPr>
          <w:t>Flügel / al-Nadīm</w:t>
        </w:r>
      </w:hyperlink>
      <w:r>
        <w:t xml:space="preserve"> — публичнодоменный Arabic/German route к Fihrist dossier.</w:t>
      </w:r>
    </w:p>
    <w:p>
      <w:pPr>
        <w:pStyle w:val="ListBullet"/>
      </w:pPr>
      <w:r>
        <w:rPr>
          <w:b/>
        </w:rPr>
        <w:t xml:space="preserve">A36-R084: </w:t>
      </w:r>
      <w:hyperlink r:id="rId42">
        <w:r>
          <w:rPr>
            <w:color w:val="1A5E8A"/>
            <w:u w:val="single"/>
            <w:rStyle w:val="Hyperlink"/>
          </w:rPr>
          <w:t>al-Bīrūnī / Sachau</w:t>
        </w:r>
      </w:hyperlink>
      <w:r>
        <w:t xml:space="preserve"> — публичнодоменный Arabic/English volume, relevant passages only.</w:t>
      </w:r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4.1. Потенциально зеркалируемые слои</w:t>
      </w:r>
    </w:p>
    <w:p>
      <w:pPr>
        <w:pStyle w:val="ListBullet"/>
      </w:pPr>
      <w:r>
        <w:t>A36-R018 — официальные изображения и metadata Cologne Mani Codex: CC BY 4.0. Зеркалирование возможно с атрибуцией, но только для item-level facsimile/metadata, не для Springer edition.</w:t>
      </w:r>
    </w:p>
    <w:p>
      <w:pPr>
        <w:pStyle w:val="ListBullet"/>
      </w:pPr>
      <w:r>
        <w:t>A36-R028 — мультиспектральные файлы Manichaean Epistles: CC BY 4.0. Разрешены копирование и производные обработки с атрибуцией; coverage ограничен dataset.</w:t>
      </w:r>
    </w:p>
    <w:p>
      <w:pPr>
        <w:pStyle w:val="ListBullet"/>
      </w:pPr>
      <w:r>
        <w:t>A36-R036–R038 — Papyri.info: CC BY 3.0 для платформенного text/data слоя, если конкретная запись не указывает исключение.</w:t>
      </w:r>
    </w:p>
    <w:p>
      <w:pPr>
        <w:pStyle w:val="ListBullet"/>
      </w:pPr>
      <w:r>
        <w:t>A36-R054–R057 — Wikisource: transcription CC BY-SA 4.0, ancient source marked public domain. Зеркалирование требует attribution и ShareAlike.</w:t>
      </w:r>
    </w:p>
    <w:p>
      <w:pPr>
        <w:pStyle w:val="ListBullet"/>
      </w:pPr>
      <w:r>
        <w:t>A36-R081 — Alexander of Lycopolis: digital item помечен Public Domain Mark 1.0; это самый сильный unconditional mirror candidate в old-edition cluster.</w:t>
      </w:r>
    </w:p>
    <w:p>
      <w:pPr>
        <w:pStyle w:val="Heading2"/>
      </w:pPr>
      <w:r>
        <w:t>4.2. Некоммерческий слой с условиями</w:t>
      </w:r>
    </w:p>
    <w:p>
      <w:r>
        <w:t>CBETA (A36-R051–R053) особенно полезна для ToS как публичного некоммерческого проекта: default CC BY-NC-SA 4.0, атрибуция, ShareAlike и version notice. Однако CBETA одновременно формулирует требование не менять содержание существенно. Поэтому текст можно хранить и индексировать в доказанном scope, но публикацию переработанного текста или перевода лучше вести от public-domain witness/Wikisource либо после отдельной проверки.</w:t>
      </w:r>
    </w:p>
    <w:p>
      <w:pPr>
        <w:pStyle w:val="Heading2"/>
      </w:pPr>
      <w:r>
        <w:t>4.3. Бесплатно читать/скачивать, но не зеркалировать автоматически</w:t>
      </w:r>
    </w:p>
    <w:p>
      <w:pPr>
        <w:pStyle w:val="ListBullet"/>
      </w:pPr>
      <w:r>
        <w:t>IAMS PDFs: свободное чтение и download, но no explicit reuse license located. Рекомендация — LINK_OK, local research copy, no public mirror.</w:t>
      </w:r>
    </w:p>
    <w:p>
      <w:pPr>
        <w:pStyle w:val="ListBullet"/>
      </w:pPr>
      <w:r>
        <w:t>Internet Archive old scans: многие издания публичнодоменны по дате в США, но item page не всегда является глобальной rights warranty. OCR и локальная индексация допустимы осторожно; публичное зеркало — после jurisdiction/item review.</w:t>
      </w:r>
    </w:p>
    <w:p>
      <w:pPr>
        <w:pStyle w:val="ListBullet"/>
      </w:pPr>
      <w:r>
        <w:t>Chester Beatty, IDP и DTA: viewer/facsimile доступен, но изображения имеют институциональные или item-specific условия. Текстовые metadata и фотографии нельзя смешивать в одну лицензию.</w:t>
      </w:r>
    </w:p>
    <w:p>
      <w:pPr>
        <w:pStyle w:val="Heading2"/>
      </w:pPr>
      <w:r>
        <w:t>4.4. Link-only, borrow, preview, purchase</w:t>
      </w:r>
    </w:p>
    <w:p>
      <w:pPr>
        <w:pStyle w:val="ListBullet"/>
      </w:pPr>
      <w:r>
        <w:t>Library borrow: Allberry Psalm-Book на Internet Archive (A36-R032) — регистрация и Controlled Digital Lending; никаких download/mirror tags.</w:t>
      </w:r>
    </w:p>
    <w:p>
      <w:pPr>
        <w:pStyle w:val="ListBullet"/>
      </w:pPr>
      <w:r>
        <w:t>Preview: Kellis Literary Texts I и Cambridge/Google previews дают частичное ознакомление, но не полный файл.</w:t>
      </w:r>
    </w:p>
    <w:p>
      <w:pPr>
        <w:pStyle w:val="ListBullet"/>
      </w:pPr>
      <w:r>
        <w:t>Purchase/institutional: Springer CMC, Brill Kephalaia, Cambridge sourcebook и CFM/Brepols volumes — лучший научный слой, защищённый авторским правом.</w:t>
      </w:r>
    </w:p>
    <w:p>
      <w:pPr>
        <w:pStyle w:val="ListBullet"/>
      </w:pPr>
      <w:r>
        <w:t>Dead Sea Scrolls images: personal noncommercial viewing; public storage/reproduction requires written permission.</w:t>
      </w:r>
    </w:p>
    <w:p>
      <w:pPr>
        <w:pStyle w:val="Heading2"/>
      </w:pPr>
      <w:r>
        <w:t>4.5. OCR, полнотекстовый индекс и embeddings</w:t>
      </w:r>
    </w:p>
    <w:p>
      <w:r>
        <w:t>В реестре 14 записей получили OCR_OK, 20 — FULLTEXT_INDEX_OK и 20 — EMBEDDINGS_OK. Эти числа не означают разрешение на весь корпус: каждый тег действует только для указанного digital object и coverage. Для IAMS, Chester Beatty, DTA/IDP и publisher books автоматическая публичная полнотекстовая публикация не рекомендована.</w:t>
      </w:r>
    </w:p>
    <w:p>
      <w:pPr>
        <w:pStyle w:val="Heading2"/>
      </w:pPr>
      <w:r>
        <w:t>4.6. Основа для собственного перевода ToS</w:t>
      </w:r>
    </w:p>
    <w:p>
      <w:r>
        <w:t>OWN_TRANSLATION_POSSIBLE поставлен в 19 строках, но почти всегда фрагментно. Чистые основания: Greek CMC facsimile (CC BY 4.0), Coptic Epistles multispectral images (CC BY 4.0), Papyri.info Greek fragments (CC BY 3.0), public-domain/CC BY-SA Chinese text layers, Qumran facsimiles для частного чтения и старые public-domain original-language editions Acts/Titus/Theodore/al-Nadīm/al-Bīrūnī. Защищённый критический текст не превращён в свободную основу.</w:t>
      </w:r>
    </w:p>
    <w:p>
      <w:pPr>
        <w:pStyle w:val="Heading1"/>
      </w:pPr>
      <w:r>
        <w:t>5. Характерные правовые тонкости</w:t>
      </w:r>
    </w:p>
    <w:p>
      <w:r>
        <w:rPr>
          <w:b/>
        </w:rPr>
        <w:t xml:space="preserve">Древность оригинала не освобождает современную редакцию. </w:t>
      </w:r>
      <w:r>
        <w:t>Манихейские произведения древние, но Gardner, Koenen/Römer, CFM, Cambridge, Brill и Brepols защищают собственные реконструкции, переводы, комментарии и аппарат.</w:t>
      </w:r>
    </w:p>
    <w:p>
      <w:r>
        <w:rPr>
          <w:b/>
        </w:rPr>
        <w:t xml:space="preserve">Фотография рукописи — отдельный объект. </w:t>
      </w:r>
      <w:r>
        <w:t>CMC images открыты CC BY 4.0; DTA, Chester Beatty, IDP и Dead Sea Scrolls могут показывать древний текст, но ограничивать изображение.</w:t>
      </w:r>
    </w:p>
    <w:p>
      <w:r>
        <w:rPr>
          <w:b/>
        </w:rPr>
        <w:t xml:space="preserve">Download не равен redistribution. </w:t>
      </w:r>
      <w:r>
        <w:t>Особенно это касается IAMS PDFs и Internet Archive scans без точного item-level open-rights statement.</w:t>
      </w:r>
    </w:p>
    <w:p>
      <w:r>
        <w:rPr>
          <w:b/>
        </w:rPr>
        <w:t xml:space="preserve">Public domain в США не гарантирует мировой статус. </w:t>
      </w:r>
      <w:r>
        <w:t>Старые издания IA квалифицированы осторожно; для международного ToS нужна проверка страны публикации, автора/редактора и срока охраны.</w:t>
      </w:r>
    </w:p>
    <w:p>
      <w:r>
        <w:rPr>
          <w:b/>
        </w:rPr>
        <w:t xml:space="preserve">Open data и restricted images могут жить на одной странице. </w:t>
      </w:r>
      <w:r>
        <w:t>IDP text/metadata и manuscript images имеют разный scope; лицензия portal text не переносится на фотографию.</w:t>
      </w:r>
    </w:p>
    <w:p>
      <w:r>
        <w:rPr>
          <w:b/>
        </w:rPr>
        <w:t xml:space="preserve">NC-материалы полезны. </w:t>
      </w:r>
      <w:r>
        <w:t>CBETA включена, поскольку ToS некоммерческий; однако NC, SA, attribution, version notice и ограничения изменений должны сохраняться.</w:t>
      </w:r>
    </w:p>
    <w:p>
      <w:r>
        <w:rPr>
          <w:b/>
        </w:rPr>
        <w:t xml:space="preserve">Собственный перевод должен опираться на чистый исходный слой. </w:t>
      </w:r>
      <w:r>
        <w:t>Нельзя свободно распространять новый перевод, если он фактически является переработкой защищённой современной реконструкции.</w:t>
      </w:r>
    </w:p>
    <w:p>
      <w:pPr>
        <w:pStyle w:val="Heading1"/>
      </w:pPr>
      <w:r>
        <w:t>6. Пробелы и дальнейший поиск</w:t>
      </w:r>
    </w:p>
    <w:p>
      <w:pPr>
        <w:pStyle w:val="Heading2"/>
      </w:pPr>
      <w:r>
        <w:t>6.1. Основные пробелы</w:t>
      </w:r>
    </w:p>
    <w:p>
      <w:pPr>
        <w:pStyle w:val="ListBullet"/>
      </w:pPr>
      <w:r>
        <w:t>Непрерывный сирийский канон утрачен; Treasure of Life, Pragmateia и Book of Mysteries не получили полноценного открытого text layer.</w:t>
      </w:r>
    </w:p>
    <w:p>
      <w:pPr>
        <w:pStyle w:val="ListBullet"/>
      </w:pPr>
      <w:r>
        <w:t>Image/Ardahang известна по testimonia и позднему искусству, но не получила надёжно идентифицированного оригинального witness.</w:t>
      </w:r>
    </w:p>
    <w:p>
      <w:pPr>
        <w:pStyle w:val="ListBullet"/>
      </w:pPr>
      <w:r>
        <w:t>Нет единого полного открытого Coptic Medinet Madi corpus с images + transcription + stable IDs + clear license.</w:t>
      </w:r>
    </w:p>
    <w:p>
      <w:pPr>
        <w:pStyle w:val="ListBullet"/>
      </w:pPr>
      <w:r>
        <w:t>Нет полного открытого Coptic Kellis corpus; доступ к Greek fragments заметно лучше, чем к Coptic literary/documentary archive.</w:t>
      </w:r>
    </w:p>
    <w:p>
      <w:pPr>
        <w:pStyle w:val="ListBullet"/>
      </w:pPr>
      <w:r>
        <w:t>Item-level BerlPap URLs для P 15995–15999 и полная карта Chester Beatty Pma holdings требуют ручного добора.</w:t>
      </w:r>
    </w:p>
    <w:p>
      <w:pPr>
        <w:pStyle w:val="ListBullet"/>
      </w:pPr>
      <w:r>
        <w:t>NLC BD00256, Xiapu ritual manuscripts, Cao’an image/statue и ряд key DTA art fragments не получили проверенных official item pages.</w:t>
      </w:r>
    </w:p>
    <w:p>
      <w:pPr>
        <w:pStyle w:val="ListBullet"/>
      </w:pPr>
      <w:r>
        <w:t>IAMS current PDFs остаются free-access, но reuse license не найдена.</w:t>
      </w:r>
    </w:p>
    <w:p>
      <w:pPr>
        <w:pStyle w:val="Heading2"/>
      </w:pPr>
      <w:r>
        <w:t>6.2. Неоткрывшиеся или неполностью проверенные ссылки</w:t>
      </w:r>
    </w:p>
    <w:p>
      <w:pPr>
        <w:pStyle w:val="ListBullet"/>
      </w:pPr>
      <w:r>
        <w:t>Chester Beatty viewers: поисковый индекс подтверждал страницы, но research browser получал ограничения доступа.</w:t>
      </w:r>
    </w:p>
    <w:p>
      <w:pPr>
        <w:pStyle w:val="ListBullet"/>
      </w:pPr>
      <w:r>
        <w:t>IDP S.3969 и MIK III 6368: item page подтверждена поиском, прямой fetch возвращал 403.</w:t>
      </w:r>
    </w:p>
    <w:p>
      <w:pPr>
        <w:pStyle w:val="ListBullet"/>
      </w:pPr>
      <w:r>
        <w:t>IDP S.2659: item доступен, но advertised IIIF manifest возвращал 404.</w:t>
      </w:r>
    </w:p>
    <w:p>
      <w:pPr>
        <w:pStyle w:val="ListBullet"/>
      </w:pPr>
      <w:r>
        <w:t>BerlPap: портал работает, но постоянные item-level URLs для всех пяти inventory numbers не были извлечены.</w:t>
      </w:r>
    </w:p>
    <w:p>
      <w:pPr>
        <w:pStyle w:val="Heading2"/>
      </w:pPr>
      <w:r>
        <w:t>6.3. Targeted follow-up</w:t>
      </w:r>
    </w:p>
    <w:p>
      <w:pPr>
        <w:pStyle w:val="ListNumber"/>
      </w:pPr>
      <w:r>
        <w:t>Пройти BerlPap вручную по P 15995–15999 и зафиксировать permanent URLs, image availability и rights statement.</w:t>
      </w:r>
    </w:p>
    <w:p>
      <w:pPr>
        <w:pStyle w:val="ListNumber"/>
      </w:pPr>
      <w:r>
        <w:t>Составить concordance Chester Beatty Pma 1–5: codex title, folio range, viewer URL, IIIF, rights.</w:t>
      </w:r>
    </w:p>
    <w:p>
      <w:pPr>
        <w:pStyle w:val="ListNumber"/>
      </w:pPr>
      <w:r>
        <w:t>Искать открытые TEI/XML releases Medinet Madi и Kellis в institutional repositories, Zenodo и publisher supplements.</w:t>
      </w:r>
    </w:p>
    <w:p>
      <w:pPr>
        <w:pStyle w:val="ListNumber"/>
      </w:pPr>
      <w:r>
        <w:t>Разобрать IAMS Canon/Concordance до item-level: каждому фрагменту Mani book дать shelfmark, edition и source URL.</w:t>
      </w:r>
    </w:p>
    <w:p>
      <w:pPr>
        <w:pStyle w:val="ListNumber"/>
      </w:pPr>
      <w:r>
        <w:t>Проверить NLC по BD00256 и китайским названиям; получить official item-level witness page.</w:t>
      </w:r>
    </w:p>
    <w:p>
      <w:pPr>
        <w:pStyle w:val="ListNumber"/>
      </w:pPr>
      <w:r>
        <w:t>Провести отдельный китайский проход по Xiapu и Cao’an через Fujian cultural-heritage catalogues, избегая туристических зеркал.</w:t>
      </w:r>
    </w:p>
    <w:p>
      <w:pPr>
        <w:pStyle w:val="ListNumber"/>
      </w:pPr>
      <w:r>
        <w:t>Проверить DTA/SMB по MIK III 4974, 4979 и другим ключевым иллюминированным fragments; отделить text rights от image rights.</w:t>
      </w:r>
    </w:p>
    <w:p>
      <w:pPr>
        <w:pStyle w:val="ListNumber"/>
      </w:pPr>
      <w:r>
        <w:t>После выхода в сентябре 2026 повторно проверить Brepols Manichaean Liturgical Texts and Practices на eBook/preview/OA chapter.</w:t>
      </w:r>
    </w:p>
    <w:p>
      <w:pPr>
        <w:pStyle w:val="Heading2"/>
      </w:pPr>
      <w:r>
        <w:t>6.4. Внепериодные кандидаты, связь которых требует дополнительной проверки</w:t>
      </w:r>
    </w:p>
    <w:p>
      <w:r>
        <w:t>Поздняя китайская Mingjiao/Xiapu ritual tradition и Cao’an image уверенно принадлежат линии рецепции, но их item-level corpus ещё не собран. Богомильская и катарская традиции сознательно не включены: простого сходства дуализма недостаточно для прямой корпусной связи; такой переход потребовал бы отдельного доказательства трансмиссии.</w:t>
      </w:r>
    </w:p>
    <w:p>
      <w:pPr>
        <w:pStyle w:val="Heading1"/>
      </w:pPr>
      <w:r>
        <w:t>7. Итоговая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Покрытие корпуса</w:t>
            </w:r>
          </w:p>
        </w:tc>
        <w:tc>
          <w:tcPr>
            <w:tcW w:type="dxa" w:w="498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Высокое для центральных кластеров и инфраструктуры; неполнота честно локализована в утраченных книгах и закрытых/неоцифрованных свидетелях.</w:t>
            </w:r>
          </w:p>
        </w:tc>
      </w:tr>
      <w:tr>
        <w:tc>
          <w:tcPr>
            <w:tcW w:type="dxa" w:w="4986"/>
            <w:shd w:fill="E8EE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Доступность оригиналов</w:t>
            </w:r>
          </w:p>
        </w:tc>
        <w:tc>
          <w:tcPr>
            <w:tcW w:type="dxa" w:w="498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Сильная для CMC, отдельных Epistles/Kellis/Chinese/Qumran witnesses; фрагментарная для Turfan; слабая для Syriac canon.</w:t>
            </w:r>
          </w:p>
        </w:tc>
      </w:tr>
      <w:tr>
        <w:tc>
          <w:tcPr>
            <w:tcW w:type="dxa" w:w="4986"/>
            <w:shd w:fill="E8EE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Доступность переводов</w:t>
            </w:r>
          </w:p>
        </w:tc>
        <w:tc>
          <w:tcPr>
            <w:tcW w:type="dxa" w:w="498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Хорошая через IAMS и старые полемические переводы; лучшие современные критические версии обычно платные или институциональные.</w:t>
            </w:r>
          </w:p>
        </w:tc>
      </w:tr>
      <w:tr>
        <w:tc>
          <w:tcPr>
            <w:tcW w:type="dxa" w:w="4986"/>
            <w:shd w:fill="E8EE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Наиболее свободный слой</w:t>
            </w:r>
          </w:p>
        </w:tc>
        <w:tc>
          <w:tcPr>
            <w:tcW w:type="dxa" w:w="498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CC BY 4.0 CMC и MSI Epistles; CC BY 3.0 Papyri.info; CC BY-SA 4.0 Wikisource; Public Domain Mark Alexander.</w:t>
            </w:r>
          </w:p>
        </w:tc>
      </w:tr>
      <w:tr>
        <w:tc>
          <w:tcPr>
            <w:tcW w:type="dxa" w:w="4986"/>
            <w:shd w:fill="E8EE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Главные ограничения</w:t>
            </w:r>
          </w:p>
        </w:tc>
        <w:tc>
          <w:tcPr>
            <w:tcW w:type="dxa" w:w="498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Утрата сирийского ядра, защищённые современные реконструкции, ограниченные museum/manuscript images, неполные Coptic/Kellis digital corpora.</w:t>
            </w:r>
          </w:p>
        </w:tc>
      </w:tr>
      <w:tr>
        <w:tc>
          <w:tcPr>
            <w:tcW w:type="dxa" w:w="4986"/>
            <w:shd w:fill="E8EE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Готовность для Codex</w:t>
            </w:r>
          </w:p>
        </w:tc>
        <w:tc>
          <w:tcPr>
            <w:tcW w:type="dxa" w:w="498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Да. XLSX предоставляет нормализуемый набор item-level access routes, rights scope, evidence URLs, coverage и gaps без преждевременного построения графа.</w:t>
            </w:r>
          </w:p>
        </w:tc>
      </w:tr>
    </w:tbl>
    <w:p/>
    <w:p>
      <w:pPr>
        <w:jc w:val="center"/>
      </w:pPr>
      <w:r>
        <w:rPr>
          <w:rFonts w:ascii="Liberation Sans" w:hAnsi="Liberation Sans"/>
          <w:b/>
          <w:color w:val="17324D"/>
          <w:sz w:val="23"/>
        </w:rPr>
        <w:t>Результат пригоден как исследовательский пакет для следующей стадии ToS: дедупликации, нормализации, построения графа и приоритизации перевода.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A36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C6C7A"/>
        <w:sz w:val="16"/>
      </w:rPr>
      <w:t>ToS Corpus &amp; Rights Registry  ·  A36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75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6D2E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erif" w:hAnsi="Liberation Serif" w:eastAsia="Liberation Seri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erif" w:hAnsi="Liberation Serif" w:eastAsia="Liberation Serif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erif" w:hAnsi="Liberation Serif" w:eastAsia="Liberation Seri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anichaeism.de/other-resources-2/" TargetMode="External"/><Relationship Id="rId12" Type="http://schemas.openxmlformats.org/officeDocument/2006/relationships/hyperlink" Target="https://www.manichaeism.de/wp-content/uploads/2024/10/DB-Antholog.-3-Sab..pdf" TargetMode="External"/><Relationship Id="rId13" Type="http://schemas.openxmlformats.org/officeDocument/2006/relationships/hyperlink" Target="https://www.brepols.net/products/IS-9782503612331-1" TargetMode="External"/><Relationship Id="rId14" Type="http://schemas.openxmlformats.org/officeDocument/2006/relationships/hyperlink" Target="https://papyri.uni-koeln.de/stueck/tm64574" TargetMode="External"/><Relationship Id="rId15" Type="http://schemas.openxmlformats.org/officeDocument/2006/relationships/hyperlink" Target="https://link.springer.com/book/10.1007/978-3-322-98624-5" TargetMode="External"/><Relationship Id="rId16" Type="http://schemas.openxmlformats.org/officeDocument/2006/relationships/hyperlink" Target="https://www.fdr.uni-hamburg.de/record/9760" TargetMode="External"/><Relationship Id="rId17" Type="http://schemas.openxmlformats.org/officeDocument/2006/relationships/hyperlink" Target="https://cbl01.intranda.com/viewer/image/Pma_5/5/" TargetMode="External"/><Relationship Id="rId18" Type="http://schemas.openxmlformats.org/officeDocument/2006/relationships/hyperlink" Target="https://archive.org/details/manichaeanpsalmb0000allb" TargetMode="External"/><Relationship Id="rId19" Type="http://schemas.openxmlformats.org/officeDocument/2006/relationships/hyperlink" Target="https://www.brepols.net/products/IS-9782503597881-1" TargetMode="External"/><Relationship Id="rId20" Type="http://schemas.openxmlformats.org/officeDocument/2006/relationships/hyperlink" Target="https://brill.com/display/title/2240" TargetMode="External"/><Relationship Id="rId21" Type="http://schemas.openxmlformats.org/officeDocument/2006/relationships/hyperlink" Target="https://www.papyri.info/current/64303" TargetMode="External"/><Relationship Id="rId22" Type="http://schemas.openxmlformats.org/officeDocument/2006/relationships/hyperlink" Target="https://www.papyri.info/current/64437" TargetMode="External"/><Relationship Id="rId23" Type="http://schemas.openxmlformats.org/officeDocument/2006/relationships/hyperlink" Target="https://www.monash.edu/arts/philosophical-historical-indigenous-studies/ancient-kellis/publications" TargetMode="External"/><Relationship Id="rId24" Type="http://schemas.openxmlformats.org/officeDocument/2006/relationships/hyperlink" Target="https://books.google.com/books/about/Kellis_Literary_Texts.html?id=f-dVAAAAYAAJ" TargetMode="External"/><Relationship Id="rId25" Type="http://schemas.openxmlformats.org/officeDocument/2006/relationships/hyperlink" Target="https://turfan.bbaw.de/dta-i-en.html" TargetMode="External"/><Relationship Id="rId26" Type="http://schemas.openxmlformats.org/officeDocument/2006/relationships/hyperlink" Target="https://www.manichaeism.de/wp-content/uploads/2026/03/Database-of-Manichaean-Texts-2026.1.pdf" TargetMode="External"/><Relationship Id="rId27" Type="http://schemas.openxmlformats.org/officeDocument/2006/relationships/hyperlink" Target="https://www.manichaeism.de/wp-content/uploads/2026/04/Old-Turkic-Texts-Doctrinal-2026.2.pdf" TargetMode="External"/><Relationship Id="rId28" Type="http://schemas.openxmlformats.org/officeDocument/2006/relationships/hyperlink" Target="https://www.brepols.net/products/IS-9782503597904-1" TargetMode="External"/><Relationship Id="rId29" Type="http://schemas.openxmlformats.org/officeDocument/2006/relationships/hyperlink" Target="https://www.brepols.net/products/IS-9782503550244-1" TargetMode="External"/><Relationship Id="rId30" Type="http://schemas.openxmlformats.org/officeDocument/2006/relationships/hyperlink" Target="https://zh.wikisource.org/wiki/Category:%E6%91%A9%E5%B0%BC%E6%95%99" TargetMode="External"/><Relationship Id="rId31" Type="http://schemas.openxmlformats.org/officeDocument/2006/relationships/hyperlink" Target="https://cbetaonline.dila.edu.tw/zh/T2140" TargetMode="External"/><Relationship Id="rId32" Type="http://schemas.openxmlformats.org/officeDocument/2006/relationships/hyperlink" Target="https://idp.bl.uk/collection/007FA6BD11B34762943ABB5649900B6E/" TargetMode="External"/><Relationship Id="rId33" Type="http://schemas.openxmlformats.org/officeDocument/2006/relationships/hyperlink" Target="https://idp.bl.uk/collection/8E44942786A24E4C84852CC889FD8317/" TargetMode="External"/><Relationship Id="rId34" Type="http://schemas.openxmlformats.org/officeDocument/2006/relationships/hyperlink" Target="https://www.brepols.net/products/IS-9782503512464-1" TargetMode="External"/><Relationship Id="rId35" Type="http://schemas.openxmlformats.org/officeDocument/2006/relationships/hyperlink" Target="https://www.deadseascrolls.org.il/explore-the-archive/manuscript/4Q203-1?locale=en_US" TargetMode="External"/><Relationship Id="rId36" Type="http://schemas.openxmlformats.org/officeDocument/2006/relationships/hyperlink" Target="https://ccel.org/ccel/archelaus/manes_disputation" TargetMode="External"/><Relationship Id="rId37" Type="http://schemas.openxmlformats.org/officeDocument/2006/relationships/hyperlink" Target="https://archive.org/details/hegemoniusactaar00hege" TargetMode="External"/><Relationship Id="rId38" Type="http://schemas.openxmlformats.org/officeDocument/2006/relationships/hyperlink" Target="https://www.newadvent.org/fathers/1405.htm" TargetMode="External"/><Relationship Id="rId39" Type="http://schemas.openxmlformats.org/officeDocument/2006/relationships/hyperlink" Target="https://archive.org/details/cu31924092341662" TargetMode="External"/><Relationship Id="rId40" Type="http://schemas.openxmlformats.org/officeDocument/2006/relationships/hyperlink" Target="https://archive.org/details/bub_gb_NMxLAAAAMAAJ" TargetMode="External"/><Relationship Id="rId41" Type="http://schemas.openxmlformats.org/officeDocument/2006/relationships/hyperlink" Target="https://archive.org/details/maniseinelehreun00ibna" TargetMode="External"/><Relationship Id="rId42" Type="http://schemas.openxmlformats.org/officeDocument/2006/relationships/hyperlink" Target="https://archive.org/details/chronologyofanci00bi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