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ToS Corpus &amp; Rights Registry</w:t>
      </w:r>
    </w:p>
    <w:p>
      <w:pPr>
        <w:jc w:val="center"/>
      </w:pPr>
      <w:r>
        <w:rPr>
          <w:b/>
          <w:color w:val="2F5597"/>
          <w:sz w:val="32"/>
        </w:rPr>
        <w:t>A10 — Хеттское государственно-ритуальное письмо</w:t>
      </w:r>
    </w:p>
    <w:p>
      <w:pPr>
        <w:jc w:val="center"/>
      </w:pPr>
      <w:r>
        <w:rPr>
          <w:i/>
        </w:rPr>
        <w:t>Исследовательский отчёт по корпусу, доступу и правам</w:t>
      </w:r>
    </w:p>
    <w:p>
      <w:pPr>
        <w:jc w:val="center"/>
      </w:pPr>
      <w:r>
        <w:rPr>
          <w:sz w:val="20"/>
        </w:rPr>
        <w:t>Проверено: 3 сентября 2026 года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  <w:sz w:val="18"/>
              </w:rPr>
              <w:t>Итоговый реестр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8"/>
              </w:rPr>
              <w:t>106 различимых способов доступа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  <w:sz w:val="18"/>
              </w:rPr>
              <w:t>Уникальные произведения/корпуса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8"/>
              </w:rPr>
              <w:t>49 названий вне чистой инфраструктуры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  <w:sz w:val="18"/>
              </w:rPr>
              <w:t>Пробелы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8"/>
              </w:rPr>
              <w:t>16 направлений дальнейшей проверки</w:t>
            </w:r>
          </w:p>
        </w:tc>
      </w:tr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  <w:sz w:val="18"/>
              </w:rPr>
              <w:t>Исходный статус строки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8"/>
              </w:rPr>
              <w:t>B (не изменён)</w:t>
            </w:r>
          </w:p>
        </w:tc>
      </w:tr>
    </w:tbl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8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ID / название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A10 — «Хеттское государственно-ритуальное письмо»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Исходный статус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B; confidence 5; launch order 09. Статус и границы мастер-строки не менялись.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Хронологическое ядро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Ок. 1650–1180 до н. э.; старохеттское и имперское государственно-ритуальное письмо.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Исходный DR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ToS Deep Research_ A10 — Хеттское государственно-ритуальное письмо.docx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Дата проверки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2026-09-03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Языки поиска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Русский, английский, немецкий, французский; оригинальные CTH/KBo/KUB/Bo-сиглы; хеттские, аккадские, хаттские, хурритские и лувийские названия.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Ядро корпуса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CTH 19; CTH 81; CTH 91; CTH 291–292; архив Ḫаттусы; Bo 86/299 / CTH 106; анналы, инструкции, молитвы, ритуалы, фестивали и письма.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sz w:val="17"/>
              </w:rPr>
              <w:t>Типы объектов</w:t>
            </w:r>
          </w:p>
        </w:tc>
        <w:tc>
          <w:tcPr>
            <w:tcW w:type="dxa" w:w="7087"/>
            <w:vAlign w:val="top"/>
          </w:tcPr>
          <w:p>
            <w:r>
              <w:rPr>
                <w:sz w:val="17"/>
              </w:rPr>
              <w:t>Произведения, корпусные записи, рукописные/материальные свидетели, переводы и издания, цифровые тексты и факсимиле, datasets, каталоги и навигационная инфраструктура.</w:t>
            </w:r>
          </w:p>
        </w:tc>
      </w:tr>
    </w:tbl>
    <w:p>
      <w:r>
        <w:t>Метод: исходный DR использован как карта, после чего поиск был расширен назад к староассирийскому, хаттскому, хурритскому и раннему царско-историческому слоям и вперёд — к нео-хеттско-лувийской монументальной передаче, современным критическим изданиям, цифровым корпусам и машинно-читаемым наборам. В реестр включены свободные, библиотечные, preview-, purchase- и metadata-only маршруты; пиратские и неясно авторизованные копии исключались.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Ядро, извлечённое из DR</w:t>
      </w:r>
    </w:p>
    <w:p>
      <w:pPr>
        <w:pStyle w:val="ListBullet"/>
      </w:pPr>
      <w:r>
        <w:t>Законы хеттов CTH 291–292 — казуистический нормативный корпус с несколькими редакционными слоями и поздними копиями.</w:t>
      </w:r>
    </w:p>
    <w:p>
      <w:pPr>
        <w:pStyle w:val="ListBullet"/>
      </w:pPr>
      <w:r>
        <w:t>Прокламация Телепину CTH 19 — династический эдикт, историческая диагностика кризиса и норма престолонаследия.</w:t>
      </w:r>
    </w:p>
    <w:p>
      <w:pPr>
        <w:pStyle w:val="ListBullet"/>
      </w:pPr>
      <w:r>
        <w:t>Апология Ḫаттушили III CTH 81 — царское самооправдание, историография и политическая теология.</w:t>
      </w:r>
    </w:p>
    <w:p>
      <w:pPr>
        <w:pStyle w:val="ListBullet"/>
      </w:pPr>
      <w:r>
        <w:t>Договор Ḫаттушили III с Рамсесом II CTH 91 — паритетная дипломатия, клятва, взаимопомощь и междержавная норма.</w:t>
      </w:r>
    </w:p>
    <w:p>
      <w:pPr>
        <w:pStyle w:val="ListBullet"/>
      </w:pPr>
      <w:r>
        <w:t>Бронзовая табличка Bo 86/299 / CTH 106 — материально исключительный договор Тудхалии IV с Курунтой.</w:t>
      </w:r>
    </w:p>
    <w:p>
      <w:pPr>
        <w:pStyle w:val="ListBullet"/>
      </w:pPr>
      <w:r>
        <w:t>Анналы, дворцовые и храмовые инструкции, молитвы, ритуалы, фестивальные сценарии и переписка как взаимосвязанная архивная экосистема.</w:t>
      </w:r>
    </w:p>
    <w:p>
      <w:pPr>
        <w:pStyle w:val="Heading2"/>
      </w:pPr>
      <w:r>
        <w:t>Расширение, добавленное веб-поиском</w:t>
      </w:r>
    </w:p>
    <w:p>
      <w:pPr>
        <w:pStyle w:val="ListBullet"/>
      </w:pPr>
      <w:r>
        <w:t>Открытые HPM-корпуса с явно заявленной CC BY-SA 4.0: TLHdig, CHiL, HFR, PTAC, Konkordanz, CTH и ряд новых проектов.</w:t>
      </w:r>
    </w:p>
    <w:p>
      <w:pPr>
        <w:pStyle w:val="ListBullet"/>
      </w:pPr>
      <w:r>
        <w:t>Машинно-читаемые слои: TLHdig XML beta 0.3 и UD Hittite-HitTB; они пригодны для локального поиска, индексации и embeddings в пределах лицензии и фактического покрытия.</w:t>
      </w:r>
    </w:p>
    <w:p>
      <w:pPr>
        <w:pStyle w:val="ListBullet"/>
      </w:pPr>
      <w:r>
        <w:t>Законные старые издания: Hrozný 1919/1922, Friedrich–Zimmern 1922 и Breasted 1906; их общественное достояние отделено от прав на конкретные сканы.</w:t>
      </w:r>
    </w:p>
    <w:p>
      <w:pPr>
        <w:pStyle w:val="ListBullet"/>
      </w:pPr>
      <w:r>
        <w:t>Защищённые современные стандартные издания: Hoffner по законам, Beckman по дипломатическим текстам, Miller по инструкциям, Singer по молитвам, Hoffner по письмам и мифам.</w:t>
      </w:r>
    </w:p>
    <w:p>
      <w:pPr>
        <w:pStyle w:val="ListBullet"/>
      </w:pPr>
      <w:r>
        <w:t>Институциональные и визуальные маршруты: UNESCO Memory of the World, UNESCO Hattusha, UN treaty replica, KBo online и лицензированные фотографии бронзовой таблички на Wikimedia Commons.</w:t>
      </w:r>
    </w:p>
    <w:p>
      <w:pPr>
        <w:pStyle w:val="Heading2"/>
      </w:pPr>
      <w:r>
        <w:t>Хронологический ореол</w:t>
      </w:r>
    </w:p>
    <w:p>
      <w:pPr>
        <w:pStyle w:val="ListBullet"/>
      </w:pPr>
      <w:r>
        <w:rPr>
          <w:sz w:val="19"/>
        </w:rPr>
        <w:t>Предшественники: «Текст Анитты» (CTH 1) — ранний царско-исторический прецедент; староассирийские ресурсы — входящая писцово-архивная среда; хаттско-хеттские тексты CTH 725 и хурритско-киззуватнийский корпус CTH 641 — конкретные ритуально-языковые трансмиссии; Амарнские письма — тот же аккадский международный дипломатический пояс.</w:t>
      </w:r>
    </w:p>
    <w:p>
      <w:pPr>
        <w:pStyle w:val="ListBullet"/>
      </w:pPr>
      <w:r>
        <w:rPr>
          <w:sz w:val="19"/>
        </w:rPr>
        <w:t>Продолжение: двуязычная надпись из Каратепе и строго ограниченный слой Hittite Monuments фиксируют постимперскую преемственность царской монументальной письменности. Они помечены как continuation/boundary и не включены в ядро хеттского клинописного корпуса.</w:t>
      </w:r>
    </w:p>
    <w:p>
      <w:pPr>
        <w:pStyle w:val="ListBullet"/>
      </w:pPr>
      <w:r>
        <w:rPr>
          <w:sz w:val="19"/>
        </w:rPr>
        <w:t>Передача и сохранение: ранние научные издания, египетская монументальная версия договора Рамсеса II и Ḫаттушили III, современная лексикография и цифровые корпуса. Эти поздние объекты не сдвигают хронологию A10, а объясняют сохранность материала и законный доступ к нему.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Категория релевантности</w:t>
            </w:r>
          </w:p>
        </w:tc>
        <w:tc>
          <w:tcPr>
            <w:tcW w:type="dxa" w:w="226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Записей доступа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same_corpus_or_tradition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39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core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30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infrastructure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21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antecedent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transmission_or_preservation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continuation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secondary_navigation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4535"/>
            <w:vAlign w:val="top"/>
          </w:tcPr>
          <w:p>
            <w:r>
              <w:rPr>
                <w:sz w:val="17"/>
              </w:rPr>
              <w:t>supporting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1</w:t>
            </w:r>
          </w:p>
        </w:tc>
      </w:tr>
    </w:tbl>
    <w:p>
      <w:r>
        <w:t>Количества выше — это способы доступа, а не число древних произведений. Несколько записей для одного текста существуют только там, где различаются репозиторий, язык, перевод, режим доступа, свидетель или правовой режим.</w:t>
      </w:r>
    </w:p>
    <w:p>
      <w:pPr>
        <w:pStyle w:val="Heading1"/>
      </w:pPr>
      <w:r>
        <w:t>3. Лучшие пути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Читать</w:t>
            </w:r>
          </w:p>
        </w:tc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Оригинал/факсимиле</w:t>
            </w:r>
          </w:p>
        </w:tc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Старый PD-вариант</w:t>
            </w:r>
          </w:p>
        </w:tc>
        <w:tc>
          <w:tcPr>
            <w:tcW w:type="dxa" w:w="153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Современный научный</w:t>
            </w:r>
          </w:p>
        </w:tc>
        <w:tc>
          <w:tcPr>
            <w:tcW w:type="dxa" w:w="1247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Машиночитаемый</w:t>
            </w:r>
          </w:p>
        </w:tc>
        <w:tc>
          <w:tcPr>
            <w:tcW w:type="dxa" w:w="1531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Наиболее свободный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Законы CTH 291–292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страницы CHiL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+ CHiL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Hrozný 1922 / Friedrich–Zimmern 1922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Hoffner 1997 (Brill/Google)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XML; UD HitTB частично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CHiL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Прокламация Телепину CTH 19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UT Hittite Online для английской ориентации; критические издания по библиографии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TLHdig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Апология Ḫаттушили III CTH 81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Урок UT + защищённая критическая литература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TLHdig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Договор с Египтом CTH 91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/ HPM treaties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Langdon–Gardiner 1920; Breasted 1906 для египетской версии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Beckman, Hittite Diplomatic Texts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TLHdig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Бронзовая табличка CTH 106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+ фото Commons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Изображения Commons высокого разрешения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Лучший старый вариант не выделен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Урок UT + современные издания договоров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Commons CC BY-SA 3.0; TLHdig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Инструкции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/ PTAC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TLHdig; PTAC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Miller 2013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XML; подкорпус UD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TLHdig/PTAC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Молитвы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TLHdig; старые страницы HPM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Singer 2002; выдача IA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TLHdig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Ритуалы/фестивали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TLHdig; HFR; HPM ritual editions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TLHdig/HFR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Специализированные издания через StBoT/hpm://m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TLHdig/HFR CC BY-SA 4.0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Письма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</w:t>
            </w:r>
          </w:p>
        </w:tc>
        <w:tc>
          <w:tcPr>
            <w:tcW w:type="dxa" w:w="1417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Hoffner 2009</w:t>
            </w:r>
          </w:p>
        </w:tc>
        <w:tc>
          <w:tcPr>
            <w:tcW w:type="dxa" w:w="1247"/>
            <w:vAlign w:val="top"/>
          </w:tcPr>
          <w:p>
            <w:r>
              <w:rPr>
                <w:sz w:val="17"/>
              </w:rPr>
              <w:t>TLHdig XML</w:t>
            </w:r>
          </w:p>
        </w:tc>
        <w:tc>
          <w:tcPr>
            <w:tcW w:type="dxa" w:w="1531"/>
            <w:vAlign w:val="top"/>
          </w:tcPr>
          <w:p>
            <w:r>
              <w:rPr>
                <w:sz w:val="17"/>
              </w:rPr>
              <w:t>TLHdig CC BY-SA 4.0</w:t>
            </w:r>
          </w:p>
        </w:tc>
      </w:tr>
    </w:tbl>
    <w:p>
      <w:pPr>
        <w:pStyle w:val="Heading2"/>
      </w:pPr>
      <w:r>
        <w:t>Ключевые входы</w:t>
      </w:r>
    </w:p>
    <w:p>
      <w:pPr>
        <w:spacing w:after="40"/>
      </w:pPr>
      <w:r>
        <w:rPr>
          <w:b/>
        </w:rPr>
        <w:t xml:space="preserve">TLHdig web corpus: </w:t>
      </w:r>
      <w:hyperlink r:id="rId10">
        <w:r>
          <w:rPr>
            <w:color w:val="0563C1"/>
            <w:u w:val="single"/>
          </w:rPr>
          <w:t>https://hethport.net/TLHdig/</w:t>
        </w:r>
      </w:hyperlink>
    </w:p>
    <w:p>
      <w:pPr>
        <w:spacing w:after="40"/>
      </w:pPr>
      <w:r>
        <w:rPr>
          <w:b/>
        </w:rPr>
        <w:t xml:space="preserve">TLHdig XML release: </w:t>
      </w:r>
      <w:hyperlink r:id="rId11">
        <w:r>
          <w:rPr>
            <w:color w:val="0563C1"/>
            <w:u w:val="single"/>
          </w:rPr>
          <w:t>https://zenodo.org/records/20328284</w:t>
        </w:r>
      </w:hyperlink>
    </w:p>
    <w:p>
      <w:pPr>
        <w:spacing w:after="40"/>
      </w:pPr>
      <w:r>
        <w:rPr>
          <w:b/>
        </w:rPr>
        <w:t xml:space="preserve">CHiL laws: </w:t>
      </w:r>
      <w:hyperlink r:id="rId12">
        <w:r>
          <w:rPr>
            <w:color w:val="0563C1"/>
            <w:u w:val="single"/>
          </w:rPr>
          <w:t>https://hethport.net/CHiL/bascorp_intro.php</w:t>
        </w:r>
      </w:hyperlink>
    </w:p>
    <w:p>
      <w:pPr>
        <w:spacing w:after="40"/>
      </w:pPr>
      <w:r>
        <w:rPr>
          <w:b/>
        </w:rPr>
        <w:t xml:space="preserve">HFR festivals: </w:t>
      </w:r>
      <w:hyperlink r:id="rId13">
        <w:r>
          <w:rPr>
            <w:color w:val="0563C1"/>
            <w:u w:val="single"/>
          </w:rPr>
          <w:t>https://hethport.net/HFR/bascorp_intro.php</w:t>
        </w:r>
      </w:hyperlink>
    </w:p>
    <w:p>
      <w:pPr>
        <w:spacing w:after="40"/>
      </w:pPr>
      <w:r>
        <w:rPr>
          <w:b/>
        </w:rPr>
        <w:t xml:space="preserve">PTAC administration: </w:t>
      </w:r>
      <w:hyperlink r:id="rId14">
        <w:r>
          <w:rPr>
            <w:color w:val="0563C1"/>
            <w:u w:val="single"/>
          </w:rPr>
          <w:t>https://hethport.net/PTAC/</w:t>
        </w:r>
      </w:hyperlink>
    </w:p>
    <w:p>
      <w:pPr>
        <w:spacing w:after="40"/>
      </w:pPr>
      <w:r>
        <w:rPr>
          <w:b/>
        </w:rPr>
        <w:t xml:space="preserve">CTH catalog: </w:t>
      </w:r>
      <w:hyperlink r:id="rId15">
        <w:r>
          <w:rPr>
            <w:color w:val="0563C1"/>
            <w:u w:val="single"/>
          </w:rPr>
          <w:t>https://hethport.net/CTH/</w:t>
        </w:r>
      </w:hyperlink>
    </w:p>
    <w:p>
      <w:pPr>
        <w:spacing w:after="40"/>
      </w:pPr>
      <w:r>
        <w:rPr>
          <w:b/>
        </w:rPr>
        <w:t xml:space="preserve">Konkordanz: </w:t>
      </w:r>
      <w:hyperlink r:id="rId16">
        <w:r>
          <w:rPr>
            <w:color w:val="0563C1"/>
            <w:u w:val="single"/>
          </w:rPr>
          <w:t>https://hethport.net/hetkonk/hetkonk_abfrageF.php</w:t>
        </w:r>
      </w:hyperlink>
    </w:p>
    <w:p>
      <w:pPr>
        <w:spacing w:after="40"/>
      </w:pPr>
      <w:r>
        <w:rPr>
          <w:b/>
        </w:rPr>
        <w:t xml:space="preserve">eCHD: </w:t>
      </w:r>
      <w:hyperlink r:id="rId17">
        <w:r>
          <w:rPr>
            <w:color w:val="0563C1"/>
            <w:u w:val="single"/>
          </w:rPr>
          <w:t>https://ochre.lib.uchicago.edu/eCHD/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Потенциально пригодно для зеркалирования</w:t>
      </w:r>
    </w:p>
    <w:p>
      <w:pPr>
        <w:pStyle w:val="ListBullet"/>
      </w:pPr>
      <w:r>
        <w:rPr>
          <w:sz w:val="19"/>
        </w:rPr>
        <w:t>Компоненты HPM с явной CC BY-SA 4.0 — веб-тексты TLHdig, CHiL, HFR, PTAC, CTH, Konkordanz и некоторые новые проекты. Зеркалировать следует только тот компонент, на котором непосредственно указана лицензия, сохраняя атрибуцию и ShareAlike.</w:t>
      </w:r>
    </w:p>
    <w:p>
      <w:pPr>
        <w:pStyle w:val="ListBullet"/>
      </w:pPr>
      <w:r>
        <w:rPr>
          <w:sz w:val="19"/>
        </w:rPr>
        <w:t>UD Hittite-HitTB распространяется по CC BY-SA 4.0: файлы репозитория можно зеркалировать с атрибуцией и ShareAlike, однако процитированные исходные издания остаются отдельными объектами прав.</w:t>
      </w:r>
    </w:p>
    <w:p>
      <w:pPr>
        <w:pStyle w:val="ListBullet"/>
      </w:pPr>
      <w:r>
        <w:rPr>
          <w:sz w:val="19"/>
        </w:rPr>
        <w:t>Две фотографии бронзовой таблички на Wikimedia Commons лицензированы по CC BY-SA 3.0, одна также предлагает GFDL. Их можно зеркалировать при сохранении атрибуции со страницы файла и условия ShareAlike.</w:t>
      </w:r>
    </w:p>
    <w:p>
      <w:pPr>
        <w:pStyle w:val="Heading2"/>
      </w:pPr>
      <w:r>
        <w:t>Некоммерческое или условное использование</w:t>
      </w:r>
    </w:p>
    <w:p>
      <w:pPr>
        <w:pStyle w:val="ListBullet"/>
      </w:pPr>
      <w:r>
        <w:rPr>
          <w:sz w:val="19"/>
        </w:rPr>
        <w:t>Фрагменты законов на Fordham сопровождаются прямым разрешением на электронное копирование для образования и личного использования и запретом коммерческого переиздания. Это специальное разрешение, а не лицензия Creative Commons; материал следует сохранять без изменений, с атрибуцией и ручной правовой проверкой.</w:t>
      </w:r>
    </w:p>
    <w:p>
      <w:pPr>
        <w:pStyle w:val="ListBullet"/>
      </w:pPr>
      <w:r>
        <w:rPr>
          <w:sz w:val="19"/>
        </w:rPr>
        <w:t>Hittite Monuments разрешает некоммерческое и академическое использование принадлежащих автору фотографий с указанием авторства, но изображения третьих лиц необходимо проверять отдельно.</w:t>
      </w:r>
    </w:p>
    <w:p>
      <w:pPr>
        <w:pStyle w:val="ListBullet"/>
      </w:pPr>
      <w:r>
        <w:rPr>
          <w:sz w:val="19"/>
        </w:rPr>
        <w:t>Конкретный скан третьего тома Breasted на Internet Archive помечен загрузившим как CC BY-NC-ND 4.0. Само издание 1906 года находится в общественном достоянии, однако размещённый цифровой объект следует считать NC/ND, пока не найден более чистый скан.</w:t>
      </w:r>
    </w:p>
    <w:p>
      <w:pPr>
        <w:pStyle w:val="Heading2"/>
      </w:pPr>
      <w:r>
        <w:rPr>
          <w:sz w:val="19"/>
        </w:rPr>
        <w:t>Бесплатно читать или скачивать, но право повторного размещения не установлено</w:t>
      </w:r>
    </w:p>
    <w:p>
      <w:pPr>
        <w:pStyle w:val="ListBullet"/>
      </w:pPr>
      <w:r>
        <w:rPr>
          <w:sz w:val="19"/>
        </w:rPr>
        <w:t>Старые цифровые издания договоров, молитв и ритуалов на hethiter.net доступны бесплатно, однако имеют знак охраны авторского права без стандартной открытой лицензии. На них можно ссылаться, но нельзя автоматически зеркалировать переводы и научный аппарат.</w:t>
      </w:r>
    </w:p>
    <w:p>
      <w:pPr>
        <w:pStyle w:val="ListBullet"/>
      </w:pPr>
      <w:r>
        <w:rPr>
          <w:sz w:val="19"/>
        </w:rPr>
        <w:t>PDF-тома CHD/eCHD и записи OCHRE являются официальными и бесплатными для исследования, но право на публичный OCR, полнотекстовую индексацию и переиздание не установлено.</w:t>
      </w:r>
    </w:p>
    <w:p>
      <w:pPr>
        <w:pStyle w:val="ListBullet"/>
      </w:pPr>
      <w:r>
        <w:rPr>
          <w:sz w:val="19"/>
        </w:rPr>
        <w:t>hpm://m и StBoT дают законный бесплатный доступ к PDF, однако права определяются для каждого тома отдельно, а не одной общей лицензией.</w:t>
      </w:r>
    </w:p>
    <w:p>
      <w:pPr>
        <w:pStyle w:val="ListBullet"/>
      </w:pPr>
      <w:r>
        <w:rPr>
          <w:sz w:val="19"/>
        </w:rPr>
        <w:t>Старые издания на Internet Archive и HathiTrust, вероятно, находятся в общественном достоянии, но конкретный скан может иметь самостоятельные условия. Собственный OCR или транскрипция выглядят перспективно, однако для повторного использования скана нужны доказательства.</w:t>
      </w:r>
    </w:p>
    <w:p>
      <w:pPr>
        <w:pStyle w:val="Heading2"/>
      </w:pPr>
      <w:r>
        <w:rPr>
          <w:sz w:val="19"/>
        </w:rPr>
        <w:t>Только ссылка, библиотечная выдача, preview или покупка</w:t>
      </w:r>
    </w:p>
    <w:p>
      <w:pPr>
        <w:pStyle w:val="ListBullet"/>
      </w:pPr>
      <w:r>
        <w:rPr>
          <w:sz w:val="19"/>
        </w:rPr>
        <w:t>Современные издания Hoffner, Beckman, Miller и Singer остаются защищёнными. ToS может ссылаться, покупать, брать их в библиотеке или использовать институциональный доступ; зеркалирование, публичная полнотекстовая индексация и распространение требуют разрешения.</w:t>
      </w:r>
    </w:p>
    <w:p>
      <w:pPr>
        <w:pStyle w:val="ListBullet"/>
      </w:pPr>
      <w:r>
        <w:rPr>
          <w:sz w:val="19"/>
        </w:rPr>
        <w:t>Print-disabled копии Beckman и Singer на Internet Archive — это Controlled Digital Lending: доступ по аккаунту и выдаче, а не скачиваемые пакеты исходных текстов.</w:t>
      </w:r>
    </w:p>
    <w:p>
      <w:pPr>
        <w:pStyle w:val="ListBullet"/>
      </w:pPr>
      <w:r>
        <w:rPr>
          <w:sz w:val="19"/>
        </w:rPr>
        <w:t>Предпросмотры Google Books полезны для обнаружения и частичного чтения, но остаются PREVIEW_ONLY.</w:t>
      </w:r>
    </w:p>
    <w:p>
      <w:pPr>
        <w:pStyle w:val="Heading2"/>
      </w:pPr>
      <w:r>
        <w:t>Собственный перевод ToS</w:t>
      </w:r>
    </w:p>
    <w:p>
      <w:pPr>
        <w:pStyle w:val="ListBullet"/>
      </w:pPr>
      <w:r>
        <w:rPr>
          <w:sz w:val="19"/>
        </w:rPr>
        <w:t>Самая чистая основа — открытые оригинальные тексты TLHdig, CHiL, HFR и PTAC по CC BY-SA 4.0. ToS может создать перевод из реально покрытой транскрипции, документировав атрибуцию и последствия ShareAlike для производного текста.</w:t>
      </w:r>
    </w:p>
    <w:p>
      <w:pPr>
        <w:pStyle w:val="ListBullet"/>
      </w:pPr>
      <w:r>
        <w:rPr>
          <w:sz w:val="19"/>
        </w:rPr>
        <w:t>Для бронзовой таблички открыто лицензированные фотографии высокого разрешения образуют свидетельский слой, ограниченный видимыми знаками и требующий филологической сверки с TLHdig и критическими изданиями.</w:t>
      </w:r>
    </w:p>
    <w:p>
      <w:pPr>
        <w:pStyle w:val="ListBullet"/>
      </w:pPr>
      <w:r>
        <w:rPr>
          <w:sz w:val="19"/>
        </w:rPr>
        <w:t>Издания эпохи общественного достояния — Hrozný, Friedrich–Zimmern и Breasted — могут поддержать независимый перевод и OCR, но права на конкретный скан и устаревшие чтения необходимо рассматривать отдельно.</w:t>
      </w:r>
    </w:p>
    <w:p>
      <w:pPr>
        <w:pStyle w:val="ListBullet"/>
      </w:pPr>
      <w:r>
        <w:rPr>
          <w:sz w:val="19"/>
        </w:rPr>
        <w:t>Современные защищённые переводы допустимо консультировать для сопоставления, но они не должны становиться единственным переводом-посредником для свободно распространяемой версии ToS.</w:t>
      </w:r>
    </w:p>
    <w:p>
      <w:pPr>
        <w:pStyle w:val="Heading1"/>
      </w:pPr>
      <w:r>
        <w:t>5. Характерные правовые тонкости</w:t>
      </w:r>
    </w:p>
    <w:p>
      <w:pPr>
        <w:pStyle w:val="ListBullet"/>
      </w:pPr>
      <w:r>
        <w:t>Древний текст свободен, но современная реконструкция, перевод, комментарий и цифровая разметка могут быть защищены независимо.</w:t>
      </w:r>
    </w:p>
    <w:p>
      <w:pPr>
        <w:pStyle w:val="ListBullet"/>
      </w:pPr>
      <w:r>
        <w:rPr>
          <w:sz w:val="19"/>
        </w:rPr>
        <w:t>HPM юридически неоднороден. Новые корпуса часто прямо указывают CC BY-SA 4.0, тогда как старые страницы hethiter.net могут содержать лишь знак copyright. Лицензию CTH или TLHdig нельзя переносить на страницы молитв и договоров без прямого основания.</w:t>
      </w:r>
    </w:p>
    <w:p>
      <w:pPr>
        <w:pStyle w:val="ListBullet"/>
      </w:pPr>
      <w:r>
        <w:rPr>
          <w:sz w:val="19"/>
        </w:rPr>
        <w:t>XML-пакет TLHdig — наиболее ценный машинно-читаемый слой. При этом страница HPM и метаданные Zenodo не полностью синхронизированы в отображаемом поле прав, поэтому перед публичным зеркалом пакета нужна финальная ручная проверка.</w:t>
      </w:r>
    </w:p>
    <w:p>
      <w:pPr>
        <w:pStyle w:val="ListBullet"/>
      </w:pPr>
      <w:r>
        <w:rPr>
          <w:sz w:val="19"/>
        </w:rPr>
        <w:t>Наличие скачиваемого файла на Internet Archive не доказывает авторизованность распространения. Исследование исключило подозрительную свободную загрузку издания Hoffner 1997 года и сохранило только издательские, preview- и controlled-lending маршруты.</w:t>
      </w:r>
    </w:p>
    <w:p>
      <w:pPr>
        <w:pStyle w:val="ListBullet"/>
      </w:pPr>
      <w:r>
        <w:rPr>
          <w:sz w:val="19"/>
        </w:rPr>
        <w:t>Общественное достояние издания 1906, 1919 или 1922 года не решает автоматически вопрос о правах на современный скан, OCR-слой, компиляцию загрузившего или интерфейс репозитория.</w:t>
      </w:r>
    </w:p>
    <w:p>
      <w:pPr>
        <w:pStyle w:val="ListBullet"/>
      </w:pPr>
      <w:r>
        <w:rPr>
          <w:sz w:val="19"/>
        </w:rPr>
        <w:t>Лицензия Wikimedia Commons относится к определённой фотографии, а не к музейной карточке предмета, другим ракурсам или всей серии факсимиле.</w:t>
      </w:r>
    </w:p>
    <w:p>
      <w:pPr>
        <w:pStyle w:val="ListBullet"/>
      </w:pPr>
      <w:r>
        <w:rPr>
          <w:sz w:val="19"/>
        </w:rPr>
        <w:t>Некоммерческие разрешения полезны для ToS, но уже, чем CC BY и CC BY-SA. Их необходимо связывать с точным файлом, автором и условием использования.</w:t>
      </w:r>
    </w:p>
    <w:p>
      <w:pPr>
        <w:pStyle w:val="Heading1"/>
      </w:pPr>
      <w:r>
        <w:t>6. Пробелы и дальнейший поиск</w:t>
      </w:r>
    </w:p>
    <w:p>
      <w:pPr>
        <w:pStyle w:val="ListNumber"/>
      </w:pPr>
      <w:r>
        <w:rPr>
          <w:sz w:val="19"/>
        </w:rPr>
        <w:t>Фотографии и факсимиле свидетелей CTH 19 — в этом проходе не найдено item-level факсимиле с ясно подтверждённой лицензией. Следующий шаг: определить основные сиглы через Konkordanz и искать их в Mainz Photo Archive, KBo/KUB и музейных каталогах с отдельной проверкой прав.</w:t>
      </w:r>
    </w:p>
    <w:p>
      <w:pPr>
        <w:pStyle w:val="ListNumber"/>
      </w:pPr>
      <w:r>
        <w:rPr>
          <w:sz w:val="19"/>
        </w:rPr>
        <w:t>KUB 1.1 и сопутствующие свидетели CTH 81 — каталог и транслитерация найдены, но авторитетное item-level изображение высокого разрешения с явными условиями повторного использования не подтверждено. Следующий шаг: поиск в каталогах Берлина, Анкары и Стамбула и в фотоархиве HPM по KUB 1.1 и джойнам.</w:t>
      </w:r>
    </w:p>
    <w:p>
      <w:pPr>
        <w:pStyle w:val="ListNumber"/>
      </w:pPr>
      <w:r>
        <w:rPr>
          <w:sz w:val="19"/>
        </w:rPr>
        <w:t>Клинописные свидетели CTH 91 — текст TLHdig найден, однако музейные факсимиле и стабильные инвентарные номера требуют завершения. Следующий шаг: разрешить KBo/KUB-сиглы через Konkordanz и найти записи коллекций Берлина и Стамбула либо фотографии HPM.</w:t>
      </w:r>
    </w:p>
    <w:p>
      <w:pPr>
        <w:pStyle w:val="ListNumber"/>
      </w:pPr>
      <w:r>
        <w:rPr>
          <w:sz w:val="19"/>
        </w:rPr>
        <w:t>Египетские копии договора в Карнаке и Рамессеуме — единая официальная страница с изображением высокого разрешения и пригодной лицензией не подтверждена. Следующий шаг: искать в эпиграфических проектах Карнака, фотоархиве Галле, IFAO и коллекциях египетского Министерства туризма и древностей.</w:t>
      </w:r>
    </w:p>
    <w:p>
      <w:pPr>
        <w:pStyle w:val="ListNumber"/>
      </w:pPr>
      <w:r>
        <w:rPr>
          <w:sz w:val="19"/>
        </w:rPr>
        <w:t>Официальная музейная карточка Bo 86/299 — лицензированные фотографии Commons существуют, но стабильная item-level страница Музея анатолийских цивилизаций не подтверждена. Следующий шаг: поиск или запрос в каталоге Анкары и базе турецкого Министерства культуры по Bo 86/299 / CTH 106.</w:t>
      </w:r>
    </w:p>
    <w:p>
      <w:pPr>
        <w:pStyle w:val="ListNumber"/>
      </w:pPr>
      <w:r>
        <w:rPr>
          <w:sz w:val="19"/>
        </w:rPr>
        <w:t>Item-level страницы Mainz Photo Archive и 3D-архива табличек — входы проектов определены, но права на отдельные объекты и пригодные URL извлечены не полностью. Следующий шаг: поиск по сиглам центральных CTH-текстов и отдельная фиксация прав на фотографии и 3D-модели.</w:t>
      </w:r>
    </w:p>
    <w:p>
      <w:pPr>
        <w:pStyle w:val="ListNumber"/>
      </w:pPr>
      <w:r>
        <w:rPr>
          <w:sz w:val="19"/>
        </w:rPr>
        <w:t>HittiteTexts.com / лейденский электронный корпус — во время проверки сайт отвечал с тайм-аутом или был недоступен. Следующий шаг: повторить проверку, установить требования регистрации, форматы экспорта, item URL и лицензию.</w:t>
      </w:r>
    </w:p>
    <w:p>
      <w:pPr>
        <w:pStyle w:val="ListNumber"/>
      </w:pPr>
      <w:r>
        <w:rPr>
          <w:sz w:val="19"/>
        </w:rPr>
        <w:t>Annotated Corpus of Luwian Texts — релевантный ресурс продолжения обнаружен, но доступ к сайту и лицензия не подтверждены. Следующий шаг: повторно открыть официальный проект и проверить отдельно права на текст, изображения и данные.</w:t>
      </w:r>
    </w:p>
    <w:p>
      <w:pPr>
        <w:pStyle w:val="ListNumber"/>
      </w:pPr>
      <w:r>
        <w:rPr>
          <w:sz w:val="19"/>
        </w:rPr>
        <w:t>Русские переводы центральных хеттских текстов — широкого, явно законного и повторно используемого русского корпуса не найдено. Следующий шаг: искать в академических репозиториях, открытых журналах и изданиях советского периода с проверкой прав на каждую редакцию.</w:t>
      </w:r>
    </w:p>
    <w:p>
      <w:pPr>
        <w:pStyle w:val="ListNumber"/>
      </w:pPr>
      <w:r>
        <w:rPr>
          <w:sz w:val="19"/>
        </w:rPr>
        <w:t>Лицензионные метаданные TLHdig на Zenodo — HPM указывает CC BY-SA 4.0, тогда как поле Rights в записи Zenodo не было заполнено. Следующий шаг: получить подтверждение команды проекта или дождаться обновления метаданных перед публичным зеркалированием XML.</w:t>
      </w:r>
    </w:p>
    <w:p>
      <w:pPr>
        <w:pStyle w:val="Heading2"/>
      </w:pPr>
      <w:r>
        <w:t>Дополнительные целевые направления</w:t>
      </w:r>
    </w:p>
    <w:p>
      <w:pPr>
        <w:pStyle w:val="ListBullet"/>
      </w:pPr>
      <w:r>
        <w:rPr>
          <w:sz w:val="19"/>
        </w:rPr>
        <w:t>Разрешить основные сиглы табличек для CTH 19, 81 и 91 через Konkordanz, затем искать музейные и HPM-изображения на уровне конкретного предмета.</w:t>
      </w:r>
    </w:p>
    <w:p>
      <w:pPr>
        <w:pStyle w:val="ListBullet"/>
      </w:pPr>
      <w:r>
        <w:rPr>
          <w:sz w:val="19"/>
        </w:rPr>
        <w:t>Найти официальные эпиграфические таблицы Карнака и Рамессеума высокого разрешения с явными правами на изображения либо IIIF-манифестами.</w:t>
      </w:r>
    </w:p>
    <w:p>
      <w:pPr>
        <w:pStyle w:val="ListBullet"/>
      </w:pPr>
      <w:r>
        <w:rPr>
          <w:sz w:val="19"/>
        </w:rPr>
        <w:t>Завершить посвидетельную карту Bo 86/299, включая метаданные каталога музея Анкары, размеры и происхождение предмета.</w:t>
      </w:r>
    </w:p>
    <w:p>
      <w:pPr>
        <w:pStyle w:val="ListBullet"/>
      </w:pPr>
      <w:r>
        <w:rPr>
          <w:sz w:val="19"/>
        </w:rPr>
        <w:t>Отслеживать Würzburg Hittite Annals до публикации первых критических datasets и фиксировать их лицензии.</w:t>
      </w:r>
    </w:p>
    <w:p>
      <w:pPr>
        <w:pStyle w:val="ListBullet"/>
      </w:pPr>
      <w:r>
        <w:rPr>
          <w:sz w:val="19"/>
        </w:rPr>
        <w:t>Картировать тексты Угарита, сохраняющие хеттские договоры, письма или административные отношения, но включать только документы с конкретной связью с A10.</w:t>
      </w:r>
    </w:p>
    <w:p>
      <w:pPr>
        <w:pStyle w:val="ListBullet"/>
      </w:pPr>
      <w:r>
        <w:rPr>
          <w:sz w:val="19"/>
        </w:rPr>
        <w:t>Искать законные русские академические переводы и публичнодоменные издания советского периода; не включать неавторизованные перепечатки.</w:t>
      </w:r>
    </w:p>
    <w:p>
      <w:pPr>
        <w:pStyle w:val="ListBullet"/>
      </w:pPr>
      <w:r>
        <w:rPr>
          <w:sz w:val="19"/>
        </w:rPr>
        <w:t>Получить письменное разъяснение TLHdig о лицензии Zenodo-пакета и HPM — о повторном использовании старых цифровых проектов.</w:t>
      </w:r>
    </w:p>
    <w:p>
      <w:pPr>
        <w:pStyle w:val="ListBullet"/>
      </w:pPr>
      <w:r>
        <w:rPr>
          <w:sz w:val="19"/>
        </w:rPr>
        <w:t>Повторно проверить HittiteTexts и Annotated Corpus of Luwian Texts; при доступности зафиксировать экспорт/API и item-level условия.</w:t>
      </w:r>
    </w:p>
    <w:p>
      <w:pPr>
        <w:pStyle w:val="Heading1"/>
      </w:pPr>
      <w:r>
        <w:t>7. Итоговая оценка</w:t>
      </w:r>
    </w:p>
    <w:p>
      <w:r>
        <w:rPr>
          <w:sz w:val="19"/>
        </w:rPr>
        <w:t>Корпус покрыт хорошо на уровне центральных жанров и цифровой навигации. Все четыре якоря DR — CTH 19, CTH 81, CTH 91 и CTH 291–292 — получили законные маршруты чтения, каталожные записи и доступ к оригинальному языку; бронзовая табличка, инструкции, молитвы, ритуалы, фестивали, письма и анналы также представлены прямыми записями. Наиболее неравномерный слой — посвидетельная фотография главных глиняных табличек.</w:t>
      </w:r>
    </w:p>
    <w:p>
      <w:r>
        <w:rPr>
          <w:sz w:val="19"/>
        </w:rPr>
        <w:t>Оригиналы лучше всего доступны через TLHdig, CHiL, HFR, PTAC, KBo и лицензированные фотографии Commons. Английские переводы существуют, однако самые сильные современные версии в основном защищены и доступны через покупку, институциональный доступ, Controlled Digital Lending или preview. Немецкие цифровые переводы часто можно бесплатно читать на старых страницах HPM, но из-за отсутствия открытой лицензии они остаются link-only.</w:t>
      </w:r>
    </w:p>
    <w:p>
      <w:r>
        <w:rPr>
          <w:sz w:val="19"/>
        </w:rPr>
        <w:t>Наиболее свободный слой — HPM-экосистема с явной CC BY-SA 4.0 и компоненты UD/Commons под CC BY-SA. Главные ограничения сосредоточены в современных переводах и критическом аппарате, музейной фотографии, старых изданиях hethiter.net и неясных правах на сканы. Реестр последовательно разделяет статус древнего произведения, права на редакцию, права на цифровой объект и условия сайта, чтобы Codex не принимал бесплатную ссылку для чтения за разрешение на зеркалирование.</w:t>
      </w:r>
    </w:p>
    <w:p>
      <w:r>
        <w:rPr>
          <w:sz w:val="19"/>
        </w:rPr>
        <w:t>Пакет пригоден для передачи Codex: таблица содержит устойчивые локальные record_id, нормализованные значения access/coverage, отдельные правовые слои, практические теги ToS, основания собственного перевода и очередь gaps. Охват достаточен для импорта, но остаётся ограниченным государственно-ритуальным письмом и конкретными линиями передачи, а не превращается в общую библиографию всей хеттской культуры.</w:t>
      </w:r>
    </w:p>
    <w:p>
      <w:pPr>
        <w:pStyle w:val="Heading2"/>
      </w:pPr>
      <w:r>
        <w:rPr>
          <w:sz w:val="19"/>
        </w:rPr>
        <w:t>Отобранные проверенные входы</w:t>
      </w:r>
    </w:p>
    <w:p>
      <w:pPr>
        <w:spacing w:after="40"/>
      </w:pPr>
      <w:r>
        <w:rPr>
          <w:b/>
        </w:rPr>
        <w:t xml:space="preserve">HPM: </w:t>
      </w:r>
      <w:hyperlink r:id="rId18">
        <w:r>
          <w:rPr>
            <w:color w:val="0563C1"/>
            <w:u w:val="single"/>
          </w:rPr>
          <w:t>https://hethport.net/HPM/index.php?lang=EN</w:t>
        </w:r>
      </w:hyperlink>
    </w:p>
    <w:p>
      <w:pPr>
        <w:spacing w:after="40"/>
      </w:pPr>
      <w:r>
        <w:rPr>
          <w:b/>
        </w:rPr>
        <w:t xml:space="preserve">CTH: </w:t>
      </w:r>
      <w:hyperlink r:id="rId15">
        <w:r>
          <w:rPr>
            <w:color w:val="0563C1"/>
            <w:u w:val="single"/>
          </w:rPr>
          <w:t>https://hethport.net/CTH/</w:t>
        </w:r>
      </w:hyperlink>
    </w:p>
    <w:p>
      <w:pPr>
        <w:spacing w:after="40"/>
      </w:pPr>
      <w:r>
        <w:rPr>
          <w:b/>
        </w:rPr>
        <w:t xml:space="preserve">TLHdig: </w:t>
      </w:r>
      <w:hyperlink r:id="rId10">
        <w:r>
          <w:rPr>
            <w:color w:val="0563C1"/>
            <w:u w:val="single"/>
          </w:rPr>
          <w:t>https://hethport.net/TLHdig/</w:t>
        </w:r>
      </w:hyperlink>
    </w:p>
    <w:p>
      <w:pPr>
        <w:spacing w:after="40"/>
      </w:pPr>
      <w:r>
        <w:rPr>
          <w:b/>
        </w:rPr>
        <w:t xml:space="preserve">TLHdig dataset: </w:t>
      </w:r>
      <w:hyperlink r:id="rId11">
        <w:r>
          <w:rPr>
            <w:color w:val="0563C1"/>
            <w:u w:val="single"/>
          </w:rPr>
          <w:t>https://zenodo.org/records/20328284</w:t>
        </w:r>
      </w:hyperlink>
    </w:p>
    <w:p>
      <w:pPr>
        <w:spacing w:after="40"/>
      </w:pPr>
      <w:r>
        <w:rPr>
          <w:b/>
        </w:rPr>
        <w:t xml:space="preserve">CHiL: </w:t>
      </w:r>
      <w:hyperlink r:id="rId12">
        <w:r>
          <w:rPr>
            <w:color w:val="0563C1"/>
            <w:u w:val="single"/>
          </w:rPr>
          <w:t>https://hethport.net/CHiL/bascorp_intro.php</w:t>
        </w:r>
      </w:hyperlink>
    </w:p>
    <w:p>
      <w:pPr>
        <w:spacing w:after="40"/>
      </w:pPr>
      <w:r>
        <w:rPr>
          <w:b/>
        </w:rPr>
        <w:t xml:space="preserve">Konkordanz: </w:t>
      </w:r>
      <w:hyperlink r:id="rId16">
        <w:r>
          <w:rPr>
            <w:color w:val="0563C1"/>
            <w:u w:val="single"/>
          </w:rPr>
          <w:t>https://hethport.net/hetkonk/hetkonk_abfrageF.php</w:t>
        </w:r>
      </w:hyperlink>
    </w:p>
    <w:p>
      <w:pPr>
        <w:spacing w:after="40"/>
      </w:pPr>
      <w:r>
        <w:rPr>
          <w:b/>
        </w:rPr>
        <w:t xml:space="preserve">UNESCO Memory of the World: </w:t>
      </w:r>
      <w:hyperlink r:id="rId19">
        <w:r>
          <w:rPr>
            <w:color w:val="0563C1"/>
            <w:u w:val="single"/>
          </w:rPr>
          <w:t>https://www.unesco.org/en/memory-world/hittite-cuneiform-tablets-bogazkoy</w:t>
        </w:r>
      </w:hyperlink>
    </w:p>
    <w:p>
      <w:pPr>
        <w:spacing w:after="40"/>
      </w:pPr>
      <w:r>
        <w:rPr>
          <w:b/>
        </w:rPr>
        <w:t xml:space="preserve">eCHD: </w:t>
      </w:r>
      <w:hyperlink r:id="rId17">
        <w:r>
          <w:rPr>
            <w:color w:val="0563C1"/>
            <w:u w:val="single"/>
          </w:rPr>
          <w:t>https://ochre.lib.uchicago.edu/eCHD/</w:t>
        </w:r>
      </w:hyperlink>
    </w:p>
    <w:p>
      <w:pPr>
        <w:spacing w:after="40"/>
      </w:pPr>
      <w:r>
        <w:rPr>
          <w:b/>
        </w:rPr>
        <w:t xml:space="preserve">UT Hittite Online: </w:t>
      </w:r>
      <w:hyperlink r:id="rId20">
        <w:r>
          <w:rPr>
            <w:color w:val="0563C1"/>
            <w:u w:val="single"/>
          </w:rPr>
          <w:t>https://lrc.la.utexas.edu/eieol/hitol</w:t>
        </w:r>
      </w:hyperlink>
    </w:p>
    <w:p>
      <w:pPr>
        <w:spacing w:after="40"/>
      </w:pPr>
      <w:r>
        <w:rPr>
          <w:b/>
        </w:rPr>
        <w:t xml:space="preserve">SBL Letters: </w:t>
      </w:r>
      <w:hyperlink r:id="rId21">
        <w:r>
          <w:rPr>
            <w:color w:val="0563C1"/>
            <w:u w:val="single"/>
          </w:rPr>
          <w:t>https://cart.sbl-site.org/books/061515P</w:t>
        </w:r>
      </w:hyperlink>
    </w:p>
    <w:p>
      <w:pPr>
        <w:spacing w:after="40"/>
      </w:pPr>
      <w:r>
        <w:rPr>
          <w:b/>
        </w:rPr>
        <w:t xml:space="preserve">SBL Myths: </w:t>
      </w:r>
      <w:hyperlink r:id="rId22">
        <w:r>
          <w:rPr>
            <w:color w:val="0563C1"/>
            <w:u w:val="single"/>
          </w:rPr>
          <w:t>https://cart.sbl-site.org/books/061502P</w:t>
        </w:r>
      </w:hyperlink>
    </w:p>
    <w:sectPr w:rsidR="00FC693F" w:rsidRPr="0006063C" w:rsidSect="00034616">
      <w:footerReference w:type="default" r:id="rId9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ToS Corpus &amp; Rights Registry — A10 | проверено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5B9BD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ethport.net/TLHdig/" TargetMode="External"/><Relationship Id="rId11" Type="http://schemas.openxmlformats.org/officeDocument/2006/relationships/hyperlink" Target="https://zenodo.org/records/20328284" TargetMode="External"/><Relationship Id="rId12" Type="http://schemas.openxmlformats.org/officeDocument/2006/relationships/hyperlink" Target="https://hethport.net/CHiL/bascorp_intro.php" TargetMode="External"/><Relationship Id="rId13" Type="http://schemas.openxmlformats.org/officeDocument/2006/relationships/hyperlink" Target="https://hethport.net/HFR/bascorp_intro.php" TargetMode="External"/><Relationship Id="rId14" Type="http://schemas.openxmlformats.org/officeDocument/2006/relationships/hyperlink" Target="https://hethport.net/PTAC/" TargetMode="External"/><Relationship Id="rId15" Type="http://schemas.openxmlformats.org/officeDocument/2006/relationships/hyperlink" Target="https://hethport.net/CTH/" TargetMode="External"/><Relationship Id="rId16" Type="http://schemas.openxmlformats.org/officeDocument/2006/relationships/hyperlink" Target="https://hethport.net/hetkonk/hetkonk_abfrageF.php" TargetMode="External"/><Relationship Id="rId17" Type="http://schemas.openxmlformats.org/officeDocument/2006/relationships/hyperlink" Target="https://ochre.lib.uchicago.edu/eCHD/" TargetMode="External"/><Relationship Id="rId18" Type="http://schemas.openxmlformats.org/officeDocument/2006/relationships/hyperlink" Target="https://hethport.net/HPM/index.php?lang=EN" TargetMode="External"/><Relationship Id="rId19" Type="http://schemas.openxmlformats.org/officeDocument/2006/relationships/hyperlink" Target="https://www.unesco.org/en/memory-world/hittite-cuneiform-tablets-bogazkoy" TargetMode="External"/><Relationship Id="rId20" Type="http://schemas.openxmlformats.org/officeDocument/2006/relationships/hyperlink" Target="https://lrc.la.utexas.edu/eieol/hitol" TargetMode="External"/><Relationship Id="rId21" Type="http://schemas.openxmlformats.org/officeDocument/2006/relationships/hyperlink" Target="https://cart.sbl-site.org/books/061515P" TargetMode="External"/><Relationship Id="rId22" Type="http://schemas.openxmlformats.org/officeDocument/2006/relationships/hyperlink" Target="https://cart.sbl-site.org/books/061502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A10</dc:title>
  <dc:subject>Хеттское государственно-ритуальное письмо: корпус, доступ и права</dc:subject>
  <dc:creator>python-docx</dc:creator>
  <cp:keywords>ToS, A10, Hittite, Hethitology, rights, corpus, CTH, TLHdig</cp:keywords>
  <dc:description>Created as a separate research package; source DR not edited.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