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w:t>
        <w:br/>
        <w:t>Registry</w:t>
      </w:r>
    </w:p>
    <w:p>
      <w:pPr>
        <w:pStyle w:val="Subtitle"/>
      </w:pPr>
      <w:r>
        <w:t>T2-46 — Неоконфуцианство Сун–Юань–Мин</w:t>
      </w:r>
    </w:p>
    <w:p>
      <w:pPr>
        <w:pStyle w:val="Caption"/>
      </w:pPr>
      <w:r>
        <w:t>Карта оригиналов, переводов, печатных свидетелей и допустимого использования</w:t>
      </w:r>
    </w:p>
    <w:p>
      <w:pPr>
        <w:pStyle w:val="Heading1"/>
      </w:pPr>
      <w:r>
        <w:t>1. Паспорт</w:t>
      </w:r>
    </w:p>
    <w:tbl>
      <w:tblPr>
        <w:tblW w:type="auto" w:w="0"/>
        <w:jc w:val="center"/>
        <w:tblLayout w:type="fixed"/>
        <w:tblLook w:firstColumn="1" w:firstRow="1" w:lastColumn="0" w:lastRow="0" w:noHBand="0" w:noVBand="1" w:val="04A0"/>
      </w:tblPr>
      <w:tblGrid>
        <w:gridCol w:w="2324"/>
        <w:gridCol w:w="7257"/>
      </w:tblGrid>
      <w:tr>
        <w:trPr>
          <w:cantSplit/>
        </w:trPr>
        <w:tc>
          <w:tcPr>
            <w:tcW w:type="dxa" w:w="2324"/>
            <w:vAlign w:val="center"/>
            <w:shd w:fill="EFF4F2"/>
          </w:tcPr>
          <w:p>
            <w:pPr>
              <w:spacing w:after="80" w:before="80"/>
            </w:pPr>
            <w:r>
              <w:rPr>
                <w:sz w:val="20"/>
              </w:rPr>
              <w:t>Строка и статус</w:t>
            </w:r>
          </w:p>
        </w:tc>
        <w:tc>
          <w:tcPr>
            <w:tcW w:type="dxa" w:w="7257"/>
            <w:vAlign w:val="center"/>
            <w:shd w:fill="FAFBFA"/>
          </w:tcPr>
          <w:p>
            <w:pPr>
              <w:spacing w:after="80" w:before="80"/>
            </w:pPr>
            <w:r>
              <w:rPr>
                <w:sz w:val="20"/>
              </w:rPr>
              <w:t>T2-46 · Таблица II · A · исходная уверенность 5/5</w:t>
            </w:r>
          </w:p>
        </w:tc>
      </w:tr>
      <w:tr>
        <w:trPr>
          <w:cantSplit/>
        </w:trPr>
        <w:tc>
          <w:tcPr>
            <w:tcW w:type="dxa" w:w="2324"/>
            <w:vAlign w:val="center"/>
            <w:shd w:fill="EFF4F2"/>
          </w:tcPr>
          <w:p>
            <w:pPr>
              <w:spacing w:after="80" w:before="80"/>
            </w:pPr>
            <w:r>
              <w:rPr>
                <w:sz w:val="20"/>
              </w:rPr>
              <w:t>Исторические границы</w:t>
            </w:r>
          </w:p>
        </w:tc>
        <w:tc>
          <w:tcPr>
            <w:tcW w:type="dxa" w:w="7257"/>
            <w:vAlign w:val="center"/>
            <w:shd w:fill="FAFBFA"/>
          </w:tcPr>
          <w:p>
            <w:pPr>
              <w:spacing w:after="80" w:before="80"/>
            </w:pPr>
            <w:r>
              <w:rPr>
                <w:sz w:val="20"/>
              </w:rPr>
              <w:t>Мастер-диапазон X–XV вв.; ядро XI–XV вв. Границы строки не изменены.</w:t>
            </w:r>
          </w:p>
        </w:tc>
      </w:tr>
      <w:tr>
        <w:trPr>
          <w:cantSplit/>
        </w:trPr>
        <w:tc>
          <w:tcPr>
            <w:tcW w:type="dxa" w:w="2324"/>
            <w:vAlign w:val="center"/>
            <w:shd w:fill="EFF4F2"/>
          </w:tcPr>
          <w:p>
            <w:pPr>
              <w:spacing w:after="80" w:before="80"/>
            </w:pPr>
            <w:r>
              <w:rPr>
                <w:sz w:val="20"/>
              </w:rPr>
              <w:t>Исходный материал</w:t>
            </w:r>
          </w:p>
        </w:tc>
        <w:tc>
          <w:tcPr>
            <w:tcW w:type="dxa" w:w="7257"/>
            <w:vAlign w:val="center"/>
            <w:shd w:fill="FAFBFA"/>
          </w:tcPr>
          <w:p>
            <w:pPr>
              <w:spacing w:after="80" w:before="80"/>
            </w:pPr>
            <w:r>
              <w:rPr>
                <w:sz w:val="20"/>
              </w:rPr>
              <w:t>ToS Deep Research_ T2-46 — Неоконфуцианство Сун–Юань–Мин(1).docx</w:t>
            </w:r>
          </w:p>
        </w:tc>
      </w:tr>
      <w:tr>
        <w:trPr>
          <w:cantSplit/>
        </w:trPr>
        <w:tc>
          <w:tcPr>
            <w:tcW w:type="dxa" w:w="2324"/>
            <w:vAlign w:val="center"/>
            <w:shd w:fill="EFF4F2"/>
          </w:tcPr>
          <w:p>
            <w:pPr>
              <w:spacing w:after="80" w:before="80"/>
            </w:pPr>
            <w:r>
              <w:rPr>
                <w:sz w:val="20"/>
              </w:rPr>
              <w:t>Дата и поставка</w:t>
            </w:r>
          </w:p>
        </w:tc>
        <w:tc>
          <w:tcPr>
            <w:tcW w:type="dxa" w:w="7257"/>
            <w:vAlign w:val="center"/>
            <w:shd w:fill="FAFBFA"/>
          </w:tcPr>
          <w:p>
            <w:pPr>
              <w:spacing w:after="80" w:before="80"/>
            </w:pPr>
            <w:r>
              <w:rPr>
                <w:sz w:val="20"/>
              </w:rPr>
              <w:t>5 сентября 2026 · registry: 81 запись · gaps: 26 групп пробелов</w:t>
            </w:r>
          </w:p>
        </w:tc>
      </w:tr>
    </w:tbl>
    <w:p>
      <w:r>
        <w:t>Исходный DR использован как карта произведений и связей, а не как доказательство текущих цифровых прав. Из него взяты паспорт, центральные авторы, жанры и исходные маршруты; названия редакций, доступность и условия использования проверялись отдельно. Сам документ и мастер-таблицы не редактировались; вложенные предложения о графе, YAML и будущих запусках не выполнялись.</w:t>
      </w:r>
    </w:p>
    <w:p>
      <w:r>
        <w:t>Ядро поиска — тексты Чжоу Дуньи, Чжан Цзая, братьев Чэн, Чжу Си, Лу Цзююаня, юаньских продолжателей и непосредственно связанный корпус Ван Янмина. Искались трактаты, собрания сочинений, записанные беседы, комментарии, учебные и ритуальные сборники, старые и современные переводы, факсимиле, машиночитаемые транскрипции и каталожные записи. Основание: DR, разделы 6, 7, 12, 13 и 16.</w:t>
      </w:r>
    </w:p>
    <w:p>
      <w:r>
        <w:t>Поиск шёл на китайском, английском, русском, немецком и испанском; использовались также японские и корейские каталожные обозначения и выходные данные. Китайские заголовки, варианты и идентификаторы KR служили главным средством различения объектов. Вьетнамский корпус не получил самостоятельного полноценного языкового прохода и вынесен в пробелы.</w:t>
      </w:r>
    </w:p>
    <w:p>
      <w:r>
        <w:t>Для доступа использованы официальные текстовые проекты, авторский университетский хостинг, национальный музей, университетские и национальные библиотеки, издательства, лицензированные платформы, Project Gutenberg, институциональная загрузка Internet Archive и Wikisource. Для идентификации особенно важны каталоги, вводные библиографии исторических изданий, оглавления и выходные данные. Для прав — отдельные музейные условия, лицензия проекта или набора данных, издательские уведомления и условия конкретного электронного издания.</w:t>
      </w:r>
    </w:p>
    <w:p>
      <w:r>
        <w:t>В DOCX ссылки [R001] и далее сокращают полные ID T2-46-R001 в XLSX и открывают соответствующий источник. Полная гранулярность — версия, охват, четыре правовых слоя, проверка, чистая основа перевода и допустимые действия — сохраняется в таблице. Пустой direct_download_url означает, что устойчивый прямой файл не подтверждён, а не что скачивание невозможно.</w:t>
      </w:r>
    </w:p>
    <w:p>
      <w:r>
        <w:t>Кандидаты, оставшиеся на уровне выдачи или неподтвердившихся метаданных, не выданы за установленный доступ: в частности, испанские переводы Чжан Цзая и некоторые переводные/региональные издания отмечены в gaps. Wikipedia не используется как итоговый источник. Wikisource и Commons оценивались отдельно, по их реальной роли.</w:t>
      </w:r>
    </w:p>
    <w:p>
      <w:r>
        <w:br w:type="page"/>
      </w:r>
    </w:p>
    <w:p>
      <w:pPr>
        <w:pStyle w:val="Heading1"/>
      </w:pPr>
      <w:r>
        <w:t>2. Охват корпуса</w:t>
      </w:r>
    </w:p>
    <w:p>
      <w:pPr>
        <w:pStyle w:val="Heading2"/>
      </w:pPr>
      <w:r>
        <w:t>Что сохранилось от исходной карты DR</w:t>
      </w:r>
    </w:p>
    <w:p>
      <w:r>
        <w:t>Северосунское ядро получило самостоятельные входы: 周元公集 и 通書 для Чжоу Дуньи; 張子全書 с 正蒙 и 西銘 для Чжан Цзая; 二程遺書, 二程外書, 二程粹言 и 伊川易傳 для братьев Чэн. Это разные корпуса и редакционные формы; они не сведены к цитатам в антологии Чжу Си.</w:t>
      </w:r>
      <w:r>
        <w:t xml:space="preserve"> </w:t>
      </w:r>
      <w:hyperlink r:id="rId11">
        <w:r>
          <w:rPr>
            <w:color w:val="17677D"/>
            <w:u w:val="single"/>
            <w:sz w:val="19"/>
            <w:rFonts w:ascii="Calibri" w:hAnsi="Calibri" w:eastAsia="Noto Sans CJK SC"/>
          </w:rPr>
          <w:t>[R002]</w:t>
        </w:r>
      </w:hyperlink>
      <w:r>
        <w:t xml:space="preserve"> · </w:t>
      </w:r>
      <w:hyperlink r:id="rId12">
        <w:r>
          <w:rPr>
            <w:color w:val="17677D"/>
            <w:u w:val="single"/>
            <w:sz w:val="19"/>
            <w:rFonts w:ascii="Calibri" w:hAnsi="Calibri" w:eastAsia="Noto Sans CJK SC"/>
          </w:rPr>
          <w:t>[R003]</w:t>
        </w:r>
      </w:hyperlink>
      <w:r>
        <w:t xml:space="preserve"> · </w:t>
      </w:r>
      <w:hyperlink r:id="rId13">
        <w:r>
          <w:rPr>
            <w:color w:val="17677D"/>
            <w:u w:val="single"/>
            <w:sz w:val="19"/>
            <w:rFonts w:ascii="Calibri" w:hAnsi="Calibri" w:eastAsia="Noto Sans CJK SC"/>
          </w:rPr>
          <w:t>[R004]</w:t>
        </w:r>
      </w:hyperlink>
      <w:r>
        <w:t xml:space="preserve"> · </w:t>
      </w:r>
      <w:hyperlink r:id="rId14">
        <w:r>
          <w:rPr>
            <w:color w:val="17677D"/>
            <w:u w:val="single"/>
            <w:sz w:val="19"/>
            <w:rFonts w:ascii="Calibri" w:hAnsi="Calibri" w:eastAsia="Noto Sans CJK SC"/>
          </w:rPr>
          <w:t>[R005]</w:t>
        </w:r>
      </w:hyperlink>
      <w:r>
        <w:t xml:space="preserve"> · </w:t>
      </w:r>
      <w:hyperlink r:id="rId15">
        <w:r>
          <w:rPr>
            <w:color w:val="17677D"/>
            <w:u w:val="single"/>
            <w:sz w:val="19"/>
            <w:rFonts w:ascii="Calibri" w:hAnsi="Calibri" w:eastAsia="Noto Sans CJK SC"/>
          </w:rPr>
          <w:t>[R009]</w:t>
        </w:r>
      </w:hyperlink>
      <w:r>
        <w:t xml:space="preserve"> · </w:t>
      </w:r>
      <w:hyperlink r:id="rId16">
        <w:r>
          <w:rPr>
            <w:color w:val="17677D"/>
            <w:u w:val="single"/>
            <w:sz w:val="19"/>
            <w:rFonts w:ascii="Calibri" w:hAnsi="Calibri" w:eastAsia="Noto Sans CJK SC"/>
          </w:rPr>
          <w:t>[R018]</w:t>
        </w:r>
      </w:hyperlink>
      <w:r>
        <w:t xml:space="preserve"> · </w:t>
      </w:r>
      <w:hyperlink r:id="rId17">
        <w:r>
          <w:rPr>
            <w:color w:val="17677D"/>
            <w:u w:val="single"/>
            <w:sz w:val="19"/>
            <w:rFonts w:ascii="Calibri" w:hAnsi="Calibri" w:eastAsia="Noto Sans CJK SC"/>
          </w:rPr>
          <w:t>[R049]</w:t>
        </w:r>
      </w:hyperlink>
    </w:p>
    <w:p>
      <w:r>
        <w:t>Чжу Си представлен не только 四書章句集註. Включены 四書或問, 論孟精義, 原本周易本義, 詩經集傳, 朱子語類, 晦菴集, 家禮, 近思錄, 延平答問, 雜學辨 и поздний сборник 朱子讀書法. Отдельно сохранены авторские английские переводы 易學啟蒙 и двух небольших текстов об И цзине. Сборник сочинений не заменяет автоматически каждое отдельное произведение, но даёт реальный общий вход.</w:t>
      </w:r>
      <w:r>
        <w:t xml:space="preserve"> </w:t>
      </w:r>
      <w:hyperlink r:id="rId18">
        <w:r>
          <w:rPr>
            <w:color w:val="17677D"/>
            <w:u w:val="single"/>
            <w:sz w:val="19"/>
            <w:rFonts w:ascii="Calibri" w:hAnsi="Calibri" w:eastAsia="Noto Sans CJK SC"/>
          </w:rPr>
          <w:t>[R001]</w:t>
        </w:r>
      </w:hyperlink>
      <w:r>
        <w:t xml:space="preserve"> · </w:t>
      </w:r>
      <w:hyperlink r:id="rId19">
        <w:r>
          <w:rPr>
            <w:color w:val="17677D"/>
            <w:u w:val="single"/>
            <w:sz w:val="19"/>
            <w:rFonts w:ascii="Calibri" w:hAnsi="Calibri" w:eastAsia="Noto Sans CJK SC"/>
          </w:rPr>
          <w:t>[R008]</w:t>
        </w:r>
      </w:hyperlink>
      <w:r>
        <w:t xml:space="preserve"> · </w:t>
      </w:r>
      <w:hyperlink r:id="rId20">
        <w:r>
          <w:rPr>
            <w:color w:val="17677D"/>
            <w:u w:val="single"/>
            <w:sz w:val="19"/>
            <w:rFonts w:ascii="Calibri" w:hAnsi="Calibri" w:eastAsia="Noto Sans CJK SC"/>
          </w:rPr>
          <w:t>[R012]</w:t>
        </w:r>
      </w:hyperlink>
      <w:r>
        <w:t xml:space="preserve"> · </w:t>
      </w:r>
      <w:hyperlink r:id="rId21">
        <w:r>
          <w:rPr>
            <w:color w:val="17677D"/>
            <w:u w:val="single"/>
            <w:sz w:val="19"/>
            <w:rFonts w:ascii="Calibri" w:hAnsi="Calibri" w:eastAsia="Noto Sans CJK SC"/>
          </w:rPr>
          <w:t>[R013]</w:t>
        </w:r>
      </w:hyperlink>
      <w:r>
        <w:t xml:space="preserve"> · </w:t>
      </w:r>
      <w:hyperlink r:id="rId22">
        <w:r>
          <w:rPr>
            <w:color w:val="17677D"/>
            <w:u w:val="single"/>
            <w:sz w:val="19"/>
            <w:rFonts w:ascii="Calibri" w:hAnsi="Calibri" w:eastAsia="Noto Sans CJK SC"/>
          </w:rPr>
          <w:t>[R014]</w:t>
        </w:r>
      </w:hyperlink>
      <w:r>
        <w:t xml:space="preserve"> · </w:t>
      </w:r>
      <w:hyperlink r:id="rId23">
        <w:r>
          <w:rPr>
            <w:color w:val="17677D"/>
            <w:u w:val="single"/>
            <w:sz w:val="19"/>
            <w:rFonts w:ascii="Calibri" w:hAnsi="Calibri" w:eastAsia="Noto Sans CJK SC"/>
          </w:rPr>
          <w:t>[R015]</w:t>
        </w:r>
      </w:hyperlink>
      <w:r>
        <w:t xml:space="preserve"> · </w:t>
      </w:r>
      <w:hyperlink r:id="rId24">
        <w:r>
          <w:rPr>
            <w:color w:val="17677D"/>
            <w:u w:val="single"/>
            <w:sz w:val="19"/>
            <w:rFonts w:ascii="Calibri" w:hAnsi="Calibri" w:eastAsia="Noto Sans CJK SC"/>
          </w:rPr>
          <w:t>[R017]</w:t>
        </w:r>
      </w:hyperlink>
      <w:r>
        <w:t xml:space="preserve"> · </w:t>
      </w:r>
      <w:hyperlink r:id="rId25">
        <w:r>
          <w:rPr>
            <w:color w:val="17677D"/>
            <w:u w:val="single"/>
            <w:sz w:val="19"/>
            <w:rFonts w:ascii="Calibri" w:hAnsi="Calibri" w:eastAsia="Noto Sans CJK SC"/>
          </w:rPr>
          <w:t>[R024]</w:t>
        </w:r>
      </w:hyperlink>
      <w:r>
        <w:t xml:space="preserve"> · </w:t>
      </w:r>
      <w:hyperlink r:id="rId26">
        <w:r>
          <w:rPr>
            <w:color w:val="17677D"/>
            <w:u w:val="single"/>
            <w:sz w:val="19"/>
            <w:rFonts w:ascii="Calibri" w:hAnsi="Calibri" w:eastAsia="Noto Sans CJK SC"/>
          </w:rPr>
          <w:t>[R026]</w:t>
        </w:r>
      </w:hyperlink>
      <w:r>
        <w:t xml:space="preserve"> · </w:t>
      </w:r>
      <w:hyperlink r:id="rId27">
        <w:r>
          <w:rPr>
            <w:color w:val="17677D"/>
            <w:u w:val="single"/>
            <w:sz w:val="19"/>
            <w:rFonts w:ascii="Calibri" w:hAnsi="Calibri" w:eastAsia="Noto Sans CJK SC"/>
          </w:rPr>
          <w:t>[R027]</w:t>
        </w:r>
      </w:hyperlink>
      <w:r>
        <w:t xml:space="preserve"> · </w:t>
      </w:r>
      <w:hyperlink r:id="rId28">
        <w:r>
          <w:rPr>
            <w:color w:val="17677D"/>
            <w:u w:val="single"/>
            <w:sz w:val="19"/>
            <w:rFonts w:ascii="Calibri" w:hAnsi="Calibri" w:eastAsia="Noto Sans CJK SC"/>
          </w:rPr>
          <w:t>[R055]</w:t>
        </w:r>
      </w:hyperlink>
      <w:r>
        <w:t xml:space="preserve"> · </w:t>
      </w:r>
      <w:hyperlink r:id="rId29">
        <w:r>
          <w:rPr>
            <w:color w:val="17677D"/>
            <w:u w:val="single"/>
            <w:sz w:val="19"/>
            <w:rFonts w:ascii="Calibri" w:hAnsi="Calibri" w:eastAsia="Noto Sans CJK SC"/>
          </w:rPr>
          <w:t>[R056]</w:t>
        </w:r>
      </w:hyperlink>
      <w:r>
        <w:t xml:space="preserve"> · </w:t>
      </w:r>
      <w:hyperlink r:id="rId30">
        <w:r>
          <w:rPr>
            <w:color w:val="17677D"/>
            <w:u w:val="single"/>
            <w:sz w:val="19"/>
            <w:rFonts w:ascii="Calibri" w:hAnsi="Calibri" w:eastAsia="Noto Sans CJK SC"/>
          </w:rPr>
          <w:t>[R071]</w:t>
        </w:r>
      </w:hyperlink>
      <w:r>
        <w:t xml:space="preserve"> · </w:t>
      </w:r>
      <w:hyperlink r:id="rId31">
        <w:r>
          <w:rPr>
            <w:color w:val="17677D"/>
            <w:u w:val="single"/>
            <w:sz w:val="19"/>
            <w:rFonts w:ascii="Calibri" w:hAnsi="Calibri" w:eastAsia="Noto Sans CJK SC"/>
          </w:rPr>
          <w:t>[R074]</w:t>
        </w:r>
      </w:hyperlink>
    </w:p>
    <w:p>
      <w:r>
        <w:t>Лу Цзююань имеет собственное собрание 象山先生全集. Для Юань проверены 魯齋遺書 Сюй Хэна, 吳文正集 У Чэна, 四書通 Ху Бинвэня, 讀四書叢說 Сюй Цяня и 程氏家塾讀書分年日程 Чэн Дуаньли. Сюй Цянь и Сюй Хэн не смешаны. Минская институциональная линия представлена 性理大全書, 四書大全 и 大學衍義補.</w:t>
      </w:r>
      <w:r>
        <w:t xml:space="preserve"> </w:t>
      </w:r>
      <w:hyperlink r:id="rId32">
        <w:r>
          <w:rPr>
            <w:color w:val="17677D"/>
            <w:u w:val="single"/>
            <w:sz w:val="19"/>
            <w:rFonts w:ascii="Calibri" w:hAnsi="Calibri" w:eastAsia="Noto Sans CJK SC"/>
          </w:rPr>
          <w:t>[R010]</w:t>
        </w:r>
      </w:hyperlink>
      <w:r>
        <w:t xml:space="preserve"> · </w:t>
      </w:r>
      <w:hyperlink r:id="rId33">
        <w:r>
          <w:rPr>
            <w:color w:val="17677D"/>
            <w:u w:val="single"/>
            <w:sz w:val="19"/>
            <w:rFonts w:ascii="Calibri" w:hAnsi="Calibri" w:eastAsia="Noto Sans CJK SC"/>
          </w:rPr>
          <w:t>[R011]</w:t>
        </w:r>
      </w:hyperlink>
      <w:r>
        <w:t xml:space="preserve"> · </w:t>
      </w:r>
      <w:hyperlink r:id="rId34">
        <w:r>
          <w:rPr>
            <w:color w:val="17677D"/>
            <w:u w:val="single"/>
            <w:sz w:val="19"/>
            <w:rFonts w:ascii="Calibri" w:hAnsi="Calibri" w:eastAsia="Noto Sans CJK SC"/>
          </w:rPr>
          <w:t>[R016]</w:t>
        </w:r>
      </w:hyperlink>
      <w:r>
        <w:t xml:space="preserve"> · </w:t>
      </w:r>
      <w:hyperlink r:id="rId35">
        <w:r>
          <w:rPr>
            <w:color w:val="17677D"/>
            <w:u w:val="single"/>
            <w:sz w:val="19"/>
            <w:rFonts w:ascii="Calibri" w:hAnsi="Calibri" w:eastAsia="Noto Sans CJK SC"/>
          </w:rPr>
          <w:t>[R033]</w:t>
        </w:r>
      </w:hyperlink>
      <w:r>
        <w:t xml:space="preserve"> · </w:t>
      </w:r>
      <w:hyperlink r:id="rId36">
        <w:r>
          <w:rPr>
            <w:color w:val="17677D"/>
            <w:u w:val="single"/>
            <w:sz w:val="19"/>
            <w:rFonts w:ascii="Calibri" w:hAnsi="Calibri" w:eastAsia="Noto Sans CJK SC"/>
          </w:rPr>
          <w:t>[R036]</w:t>
        </w:r>
      </w:hyperlink>
      <w:r>
        <w:t xml:space="preserve"> · </w:t>
      </w:r>
      <w:hyperlink r:id="rId37">
        <w:r>
          <w:rPr>
            <w:color w:val="17677D"/>
            <w:u w:val="single"/>
            <w:sz w:val="19"/>
            <w:rFonts w:ascii="Calibri" w:hAnsi="Calibri" w:eastAsia="Noto Sans CJK SC"/>
          </w:rPr>
          <w:t>[R037]</w:t>
        </w:r>
      </w:hyperlink>
      <w:r>
        <w:t xml:space="preserve"> · </w:t>
      </w:r>
      <w:hyperlink r:id="rId38">
        <w:r>
          <w:rPr>
            <w:color w:val="17677D"/>
            <w:u w:val="single"/>
            <w:sz w:val="19"/>
            <w:rFonts w:ascii="Calibri" w:hAnsi="Calibri" w:eastAsia="Noto Sans CJK SC"/>
          </w:rPr>
          <w:t>[R038]</w:t>
        </w:r>
      </w:hyperlink>
      <w:r>
        <w:t xml:space="preserve"> · </w:t>
      </w:r>
      <w:hyperlink r:id="rId39">
        <w:r>
          <w:rPr>
            <w:color w:val="17677D"/>
            <w:u w:val="single"/>
            <w:sz w:val="19"/>
            <w:rFonts w:ascii="Calibri" w:hAnsi="Calibri" w:eastAsia="Noto Sans CJK SC"/>
          </w:rPr>
          <w:t>[R039]</w:t>
        </w:r>
      </w:hyperlink>
      <w:r>
        <w:t xml:space="preserve"> · </w:t>
      </w:r>
      <w:hyperlink r:id="rId40">
        <w:r>
          <w:rPr>
            <w:color w:val="17677D"/>
            <w:u w:val="single"/>
            <w:sz w:val="19"/>
            <w:rFonts w:ascii="Calibri" w:hAnsi="Calibri" w:eastAsia="Noto Sans CJK SC"/>
          </w:rPr>
          <w:t>[R054]</w:t>
        </w:r>
      </w:hyperlink>
    </w:p>
    <w:p>
      <w:pPr>
        <w:pStyle w:val="Heading2"/>
      </w:pPr>
      <w:r>
        <w:t>Что добавлено живым поиском</w:t>
      </w:r>
    </w:p>
    <w:p>
      <w:r>
        <w:t>Существенное расширение — 知言 Ху Хуна, 北溪字義 Чэнь Чуня, 大學衍義 и 心經 Чжэнь Дэсю, 南軒集 Чжан Ши, 龍川集 Чэнь Ляна, 上蔡語錄 Се Лянцзо и 白沙子 Чэнь Сяньчжана. Основание включения — конкретное участие в той же текстовой и педагогической среде: комментарийная работа, передача наставлений, переписка, редакция или внутренняя альтернатива, а не просто принадлежность китайской культуре.</w:t>
      </w:r>
      <w:r>
        <w:t xml:space="preserve"> </w:t>
      </w:r>
      <w:hyperlink r:id="rId41">
        <w:r>
          <w:rPr>
            <w:color w:val="17677D"/>
            <w:u w:val="single"/>
            <w:sz w:val="19"/>
            <w:rFonts w:ascii="Calibri" w:hAnsi="Calibri" w:eastAsia="Noto Sans CJK SC"/>
          </w:rPr>
          <w:t>[R034]</w:t>
        </w:r>
      </w:hyperlink>
      <w:r>
        <w:t xml:space="preserve"> · </w:t>
      </w:r>
      <w:hyperlink r:id="rId42">
        <w:r>
          <w:rPr>
            <w:color w:val="17677D"/>
            <w:u w:val="single"/>
            <w:sz w:val="19"/>
            <w:rFonts w:ascii="Calibri" w:hAnsi="Calibri" w:eastAsia="Noto Sans CJK SC"/>
          </w:rPr>
          <w:t>[R035]</w:t>
        </w:r>
      </w:hyperlink>
      <w:r>
        <w:t xml:space="preserve"> · </w:t>
      </w:r>
      <w:hyperlink r:id="rId43">
        <w:r>
          <w:rPr>
            <w:color w:val="17677D"/>
            <w:u w:val="single"/>
            <w:sz w:val="19"/>
            <w:rFonts w:ascii="Calibri" w:hAnsi="Calibri" w:eastAsia="Noto Sans CJK SC"/>
          </w:rPr>
          <w:t>[R061]</w:t>
        </w:r>
      </w:hyperlink>
      <w:r>
        <w:t xml:space="preserve"> · </w:t>
      </w:r>
      <w:hyperlink r:id="rId44">
        <w:r>
          <w:rPr>
            <w:color w:val="17677D"/>
            <w:u w:val="single"/>
            <w:sz w:val="19"/>
            <w:rFonts w:ascii="Calibri" w:hAnsi="Calibri" w:eastAsia="Noto Sans CJK SC"/>
          </w:rPr>
          <w:t>[R062]</w:t>
        </w:r>
      </w:hyperlink>
      <w:r>
        <w:t xml:space="preserve"> · </w:t>
      </w:r>
      <w:hyperlink r:id="rId45">
        <w:r>
          <w:rPr>
            <w:color w:val="17677D"/>
            <w:u w:val="single"/>
            <w:sz w:val="19"/>
            <w:rFonts w:ascii="Calibri" w:hAnsi="Calibri" w:eastAsia="Noto Sans CJK SC"/>
          </w:rPr>
          <w:t>[R063]</w:t>
        </w:r>
      </w:hyperlink>
      <w:r>
        <w:t xml:space="preserve"> · </w:t>
      </w:r>
      <w:hyperlink r:id="rId46">
        <w:r>
          <w:rPr>
            <w:color w:val="17677D"/>
            <w:u w:val="single"/>
            <w:sz w:val="19"/>
            <w:rFonts w:ascii="Calibri" w:hAnsi="Calibri" w:eastAsia="Noto Sans CJK SC"/>
          </w:rPr>
          <w:t>[R064]</w:t>
        </w:r>
      </w:hyperlink>
      <w:r>
        <w:t xml:space="preserve"> · </w:t>
      </w:r>
      <w:hyperlink r:id="rId47">
        <w:r>
          <w:rPr>
            <w:color w:val="17677D"/>
            <w:u w:val="single"/>
            <w:sz w:val="19"/>
            <w:rFonts w:ascii="Calibri" w:hAnsi="Calibri" w:eastAsia="Noto Sans CJK SC"/>
          </w:rPr>
          <w:t>[R073]</w:t>
        </w:r>
      </w:hyperlink>
      <w:r>
        <w:t xml:space="preserve"> · </w:t>
      </w:r>
      <w:hyperlink r:id="rId48">
        <w:r>
          <w:rPr>
            <w:color w:val="17677D"/>
            <w:u w:val="single"/>
            <w:sz w:val="19"/>
            <w:rFonts w:ascii="Calibri" w:hAnsi="Calibri" w:eastAsia="Noto Sans CJK SC"/>
          </w:rPr>
          <w:t>[R075]</w:t>
        </w:r>
      </w:hyperlink>
    </w:p>
    <w:p>
      <w:r>
        <w:t>Прямые отношения видны в самих источниках: Jinsilu собирает материал северосунских учителей; Shangcai yulu имеет редакцию Чжу Си; в собрании Чжан Ши существенны письма и диалоги с Чжу Си; Zhuzi dushu fa составлен из его письменных текстов и бесед. Такие случаи сильнее общей тематической близости.</w:t>
      </w:r>
      <w:r>
        <w:t xml:space="preserve"> </w:t>
      </w:r>
      <w:hyperlink r:id="rId49">
        <w:r>
          <w:rPr>
            <w:color w:val="17677D"/>
            <w:u w:val="single"/>
            <w:sz w:val="19"/>
            <w:rFonts w:ascii="Calibri" w:hAnsi="Calibri" w:eastAsia="Noto Sans CJK SC"/>
          </w:rPr>
          <w:t>[R006]</w:t>
        </w:r>
      </w:hyperlink>
      <w:r>
        <w:t xml:space="preserve"> · </w:t>
      </w:r>
      <w:hyperlink r:id="rId45">
        <w:r>
          <w:rPr>
            <w:color w:val="17677D"/>
            <w:u w:val="single"/>
            <w:sz w:val="19"/>
            <w:rFonts w:ascii="Calibri" w:hAnsi="Calibri" w:eastAsia="Noto Sans CJK SC"/>
          </w:rPr>
          <w:t>[R063]</w:t>
        </w:r>
      </w:hyperlink>
      <w:r>
        <w:t xml:space="preserve"> · </w:t>
      </w:r>
      <w:hyperlink r:id="rId47">
        <w:r>
          <w:rPr>
            <w:color w:val="17677D"/>
            <w:u w:val="single"/>
            <w:sz w:val="19"/>
            <w:rFonts w:ascii="Calibri" w:hAnsi="Calibri" w:eastAsia="Noto Sans CJK SC"/>
          </w:rPr>
          <w:t>[R073]</w:t>
        </w:r>
      </w:hyperlink>
      <w:r>
        <w:t xml:space="preserve"> · </w:t>
      </w:r>
      <w:hyperlink r:id="rId31">
        <w:r>
          <w:rPr>
            <w:color w:val="17677D"/>
            <w:u w:val="single"/>
            <w:sz w:val="19"/>
            <w:rFonts w:ascii="Calibri" w:hAnsi="Calibri" w:eastAsia="Noto Sans CJK SC"/>
          </w:rPr>
          <w:t>[R074]</w:t>
        </w:r>
      </w:hyperlink>
    </w:p>
    <w:p>
      <w:pPr>
        <w:pStyle w:val="Heading2"/>
      </w:pPr>
      <w:r>
        <w:t>Поиск назад во времени</w:t>
      </w:r>
    </w:p>
    <w:p>
      <w:r>
        <w:t>Древний канонический вход сохранён через ранние комментарийные традиции: 孟子注疏, 論語注疏 и 周易註疏, а также доступные переводы Да сюэ, Чжун юна и Лунь юя. Их связь — прямые объекты последующей экзегезы. Эти записи не претендуют на новую полную библиографию доконфуцианского или классического Китая.</w:t>
      </w:r>
      <w:r>
        <w:t xml:space="preserve"> </w:t>
      </w:r>
      <w:hyperlink r:id="rId50">
        <w:r>
          <w:rPr>
            <w:color w:val="17677D"/>
            <w:u w:val="single"/>
            <w:sz w:val="19"/>
            <w:rFonts w:ascii="Calibri" w:hAnsi="Calibri" w:eastAsia="Noto Sans CJK SC"/>
          </w:rPr>
          <w:t>[R028]</w:t>
        </w:r>
      </w:hyperlink>
      <w:r>
        <w:t xml:space="preserve"> · </w:t>
      </w:r>
      <w:hyperlink r:id="rId51">
        <w:r>
          <w:rPr>
            <w:color w:val="17677D"/>
            <w:u w:val="single"/>
            <w:sz w:val="19"/>
            <w:rFonts w:ascii="Calibri" w:hAnsi="Calibri" w:eastAsia="Noto Sans CJK SC"/>
          </w:rPr>
          <w:t>[R058]</w:t>
        </w:r>
      </w:hyperlink>
      <w:r>
        <w:t xml:space="preserve"> · </w:t>
      </w:r>
      <w:hyperlink r:id="rId52">
        <w:r>
          <w:rPr>
            <w:color w:val="17677D"/>
            <w:u w:val="single"/>
            <w:sz w:val="19"/>
            <w:rFonts w:ascii="Calibri" w:hAnsi="Calibri" w:eastAsia="Noto Sans CJK SC"/>
          </w:rPr>
          <w:t>[R059]</w:t>
        </w:r>
      </w:hyperlink>
      <w:r>
        <w:t xml:space="preserve"> · </w:t>
      </w:r>
      <w:hyperlink r:id="rId53">
        <w:r>
          <w:rPr>
            <w:color w:val="17677D"/>
            <w:u w:val="single"/>
            <w:sz w:val="19"/>
            <w:rFonts w:ascii="Calibri" w:hAnsi="Calibri" w:eastAsia="Noto Sans CJK SC"/>
          </w:rPr>
          <w:t>[R060]</w:t>
        </w:r>
      </w:hyperlink>
      <w:r>
        <w:t xml:space="preserve"> · </w:t>
      </w:r>
      <w:hyperlink r:id="rId54">
        <w:r>
          <w:rPr>
            <w:color w:val="17677D"/>
            <w:u w:val="single"/>
            <w:sz w:val="19"/>
            <w:rFonts w:ascii="Calibri" w:hAnsi="Calibri" w:eastAsia="Noto Sans CJK SC"/>
          </w:rPr>
          <w:t>[R068]</w:t>
        </w:r>
      </w:hyperlink>
    </w:p>
    <w:p>
      <w:r>
        <w:t>Танский вход конкретизирован через 李文公集 Ли Ао, где проверены три части 復性書, и корпус Хань Юя в редакционно-комментарийной передаче Чжу Си. Здесь зафиксирован не только ранний автор, но и канал последующего чтения. 書儀 Сыма Гуана включено как прямой предшественник ритуальной линии 家禮; оно находится внутри мастер-диапазона, поэтому antecedent означает относительную, а не обязательно до-X-вековую предшествующую роль.</w:t>
      </w:r>
      <w:r>
        <w:t xml:space="preserve"> </w:t>
      </w:r>
      <w:hyperlink r:id="rId55">
        <w:r>
          <w:rPr>
            <w:color w:val="17677D"/>
            <w:u w:val="single"/>
            <w:sz w:val="19"/>
            <w:rFonts w:ascii="Calibri" w:hAnsi="Calibri" w:eastAsia="Noto Sans CJK SC"/>
          </w:rPr>
          <w:t>[R040]</w:t>
        </w:r>
      </w:hyperlink>
      <w:r>
        <w:t xml:space="preserve"> · </w:t>
      </w:r>
      <w:hyperlink r:id="rId56">
        <w:r>
          <w:rPr>
            <w:color w:val="17677D"/>
            <w:u w:val="single"/>
            <w:sz w:val="19"/>
            <w:rFonts w:ascii="Calibri" w:hAnsi="Calibri" w:eastAsia="Noto Sans CJK SC"/>
          </w:rPr>
          <w:t>[R057]</w:t>
        </w:r>
      </w:hyperlink>
      <w:r>
        <w:t xml:space="preserve"> · </w:t>
      </w:r>
      <w:hyperlink r:id="rId57">
        <w:r>
          <w:rPr>
            <w:color w:val="17677D"/>
            <w:u w:val="single"/>
            <w:sz w:val="19"/>
            <w:rFonts w:ascii="Calibri" w:hAnsi="Calibri" w:eastAsia="Noto Sans CJK SC"/>
          </w:rPr>
          <w:t>[R072]</w:t>
        </w:r>
      </w:hyperlink>
    </w:p>
    <w:p>
      <w:pPr>
        <w:pStyle w:val="Heading2"/>
      </w:pPr>
      <w:r>
        <w:t>Поиск вперёд во времени</w:t>
      </w:r>
    </w:p>
    <w:p>
      <w:r>
        <w:t>Ван Янмин не исключён из-за преимущественно XVI-вековой датировки: включены частичная 陽明先生集要, полный трёхчастный текст 傳習錄 для чтения, старый перевод Henke и современные переводные маршруты. 困知記 Ло Циньшуня добавлен как прямая поздняя полемическая и философская линия. Наличие этих объектов не переносит историческое ядро T2-46 за 1500 год.</w:t>
      </w:r>
      <w:r>
        <w:t xml:space="preserve"> </w:t>
      </w:r>
      <w:hyperlink r:id="rId58">
        <w:r>
          <w:rPr>
            <w:color w:val="17677D"/>
            <w:u w:val="single"/>
            <w:sz w:val="19"/>
            <w:rFonts w:ascii="Calibri" w:hAnsi="Calibri" w:eastAsia="Noto Sans CJK SC"/>
          </w:rPr>
          <w:t>[R030]</w:t>
        </w:r>
      </w:hyperlink>
      <w:r>
        <w:t xml:space="preserve"> · </w:t>
      </w:r>
      <w:hyperlink r:id="rId59">
        <w:r>
          <w:rPr>
            <w:color w:val="17677D"/>
            <w:u w:val="single"/>
            <w:sz w:val="19"/>
            <w:rFonts w:ascii="Calibri" w:hAnsi="Calibri" w:eastAsia="Noto Sans CJK SC"/>
          </w:rPr>
          <w:t>[R041]</w:t>
        </w:r>
      </w:hyperlink>
      <w:r>
        <w:t xml:space="preserve"> · </w:t>
      </w:r>
      <w:hyperlink r:id="rId60">
        <w:r>
          <w:rPr>
            <w:color w:val="17677D"/>
            <w:u w:val="single"/>
            <w:sz w:val="19"/>
            <w:rFonts w:ascii="Calibri" w:hAnsi="Calibri" w:eastAsia="Noto Sans CJK SC"/>
          </w:rPr>
          <w:t>[R045]</w:t>
        </w:r>
      </w:hyperlink>
      <w:r>
        <w:t xml:space="preserve"> · </w:t>
      </w:r>
      <w:hyperlink r:id="rId61">
        <w:r>
          <w:rPr>
            <w:color w:val="17677D"/>
            <w:u w:val="single"/>
            <w:sz w:val="19"/>
            <w:rFonts w:ascii="Calibri" w:hAnsi="Calibri" w:eastAsia="Noto Sans CJK SC"/>
          </w:rPr>
          <w:t>[R047]</w:t>
        </w:r>
      </w:hyperlink>
      <w:r>
        <w:t xml:space="preserve"> · </w:t>
      </w:r>
      <w:hyperlink r:id="rId62">
        <w:r>
          <w:rPr>
            <w:color w:val="17677D"/>
            <w:u w:val="single"/>
            <w:sz w:val="19"/>
            <w:rFonts w:ascii="Calibri" w:hAnsi="Calibri" w:eastAsia="Noto Sans CJK SC"/>
          </w:rPr>
          <w:t>[R050]</w:t>
        </w:r>
      </w:hyperlink>
      <w:r>
        <w:t xml:space="preserve"> · </w:t>
      </w:r>
      <w:hyperlink r:id="rId63">
        <w:r>
          <w:rPr>
            <w:color w:val="17677D"/>
            <w:u w:val="single"/>
            <w:sz w:val="19"/>
            <w:rFonts w:ascii="Calibri" w:hAnsi="Calibri" w:eastAsia="Noto Sans CJK SC"/>
          </w:rPr>
          <w:t>[R065]</w:t>
        </w:r>
      </w:hyperlink>
    </w:p>
    <w:p>
      <w:r>
        <w:t>Поздние тексты сохранения и переосмысления — 明儒學案 Хуан Цзунси, 注解正蒙 Ли Гуанди, 近思錄集註 Мао Синлая, императорская редакция 小學 и предисловие Канси к 朱子全書 1713 года. Каждый связан с конкретным корпусом или авторской линией. Цинские издания здесь важны и как носители более ранних текстов, но дата их материальной или редакционной формы не подменяет дату сочинения.</w:t>
      </w:r>
      <w:r>
        <w:t xml:space="preserve"> </w:t>
      </w:r>
      <w:hyperlink r:id="rId64">
        <w:r>
          <w:rPr>
            <w:color w:val="17677D"/>
            <w:u w:val="single"/>
            <w:sz w:val="19"/>
            <w:rFonts w:ascii="Calibri" w:hAnsi="Calibri" w:eastAsia="Noto Sans CJK SC"/>
          </w:rPr>
          <w:t>[R022]</w:t>
        </w:r>
      </w:hyperlink>
      <w:r>
        <w:t xml:space="preserve"> · </w:t>
      </w:r>
      <w:hyperlink r:id="rId65">
        <w:r>
          <w:rPr>
            <w:color w:val="17677D"/>
            <w:u w:val="single"/>
            <w:sz w:val="19"/>
            <w:rFonts w:ascii="Calibri" w:hAnsi="Calibri" w:eastAsia="Noto Sans CJK SC"/>
          </w:rPr>
          <w:t>[R051]</w:t>
        </w:r>
      </w:hyperlink>
      <w:r>
        <w:t xml:space="preserve"> · </w:t>
      </w:r>
      <w:hyperlink r:id="rId66">
        <w:r>
          <w:rPr>
            <w:color w:val="17677D"/>
            <w:u w:val="single"/>
            <w:sz w:val="19"/>
            <w:rFonts w:ascii="Calibri" w:hAnsi="Calibri" w:eastAsia="Noto Sans CJK SC"/>
          </w:rPr>
          <w:t>[R052]</w:t>
        </w:r>
      </w:hyperlink>
      <w:r>
        <w:t xml:space="preserve"> · </w:t>
      </w:r>
      <w:hyperlink r:id="rId67">
        <w:r>
          <w:rPr>
            <w:color w:val="17677D"/>
            <w:u w:val="single"/>
            <w:sz w:val="19"/>
            <w:rFonts w:ascii="Calibri" w:hAnsi="Calibri" w:eastAsia="Noto Sans CJK SC"/>
          </w:rPr>
          <w:t>[R053]</w:t>
        </w:r>
      </w:hyperlink>
      <w:r>
        <w:t xml:space="preserve"> · </w:t>
      </w:r>
      <w:hyperlink r:id="rId68">
        <w:r>
          <w:rPr>
            <w:color w:val="17677D"/>
            <w:u w:val="single"/>
            <w:sz w:val="19"/>
            <w:rFonts w:ascii="Calibri" w:hAnsi="Calibri" w:eastAsia="Noto Sans CJK SC"/>
          </w:rPr>
          <w:t>[R066]</w:t>
        </w:r>
      </w:hyperlink>
      <w:r>
        <w:t xml:space="preserve"> · </w:t>
      </w:r>
      <w:hyperlink r:id="rId68">
        <w:r>
          <w:rPr>
            <w:color w:val="17677D"/>
            <w:u w:val="single"/>
            <w:sz w:val="19"/>
            <w:rFonts w:ascii="Calibri" w:hAnsi="Calibri" w:eastAsia="Noto Sans CJK SC"/>
          </w:rPr>
          <w:t>[R067]</w:t>
        </w:r>
      </w:hyperlink>
    </w:p>
    <w:p>
      <w:r>
        <w:t>Региональное расширение ограничено доказанными объектами. Корейский мемориал 喪服考證, включённый в анналы под 1666 годом, прямо цитирует 家禮 и 儀禮通解續; это конкретная рецепция, а не общая история корейского конфуцианства. Отдельно открыт короткий факсимильный фрагмент корейской передачи Jinsilu. Полные японские и вьетнамские свидетели пока не установлены в этом пакете.</w:t>
      </w:r>
      <w:r>
        <w:t xml:space="preserve"> </w:t>
      </w:r>
      <w:hyperlink r:id="rId69">
        <w:r>
          <w:rPr>
            <w:color w:val="17677D"/>
            <w:u w:val="single"/>
            <w:sz w:val="19"/>
            <w:rFonts w:ascii="Calibri" w:hAnsi="Calibri" w:eastAsia="Noto Sans CJK SC"/>
          </w:rPr>
          <w:t>[R070]</w:t>
        </w:r>
      </w:hyperlink>
      <w:r>
        <w:t xml:space="preserve"> · </w:t>
      </w:r>
      <w:hyperlink r:id="rId70">
        <w:r>
          <w:rPr>
            <w:color w:val="17677D"/>
            <w:u w:val="single"/>
            <w:sz w:val="19"/>
            <w:rFonts w:ascii="Calibri" w:hAnsi="Calibri" w:eastAsia="Noto Sans CJK SC"/>
          </w:rPr>
          <w:t>[R076]</w:t>
        </w:r>
      </w:hyperlink>
    </w:p>
    <w:p>
      <w:pPr>
        <w:pStyle w:val="Heading2"/>
      </w:pPr>
      <w:r>
        <w:t>Количество и уровни релевантности</w:t>
      </w:r>
    </w:p>
    <w:p>
      <w:r>
        <w:t>Итог — 81 запись маршрута, а не 81 независимое произведение. Проверенные китайские машиночитаемые входы включают 51 отдельно озаглавленный текстовый пакет Kanripo; ещё один объект Kanripo — общий каталог. Это точный нижний счёт корпусных единиц данного слоя, но не число всех сочинений внутри собраний. С учётом отдельных переводимых текстов, Четверокнижия, мемориала и предисловия охват составляет примерно 60 первичных заголовков/текстовых сборок; глобальная дедупликация вложенных корпусов не выполнялась.</w:t>
      </w:r>
    </w:p>
    <w:p>
      <w:r>
        <w:t>Распределение 81 маршрута: core — 22; same_corpus_or_tradition — 15; antecedent — 6; continuation — 4; commentary_or_reception — 9; transmission_or_preservation — 22; infrastructure — 3. Отдельных registry-записей supporting, boundary и secondary_navigation не потребовалось: вспомогательные кандидаты остались в gaps, а прямые поздние связи получили содержательные, не пониженные датой категории.</w:t>
      </w:r>
    </w:p>
    <w:p>
      <w:r>
        <w:t>У 76 записей открыт хотя бы относящийся к объекту текст, файл, репозиторий, музейная/библиотечная карточка или страница платного доступа. Пять исходных маршрутов CText сохранены с temporarily_unavailable: web-fetch их не открыл. Это не означает ни отсутствия произведений, ни доказанного общего сбоя сайта. Полная сверка всех листов и строк крупных пакетов не проводилась.</w:t>
      </w:r>
    </w:p>
    <w:p>
      <w:r>
        <w:br w:type="page"/>
      </w:r>
    </w:p>
    <w:p>
      <w:pPr>
        <w:pStyle w:val="Heading1"/>
      </w:pPr>
      <w:r>
        <w:t>3. Лучшие пути доступа</w:t>
      </w:r>
    </w:p>
    <w:p>
      <w:r>
        <w:t>Ниже названы наиболее полезные варианты среди проверенных в этом запуске. «Полный» относится к указанной редакции или доступному пакету, а не к авторскому автографу, всем сочинениям автора либо каждому возможному комментарию. Для научного цитирования предпочтительна сверка с идентифицированным печатным изданием.</w:t>
      </w:r>
    </w:p>
    <w:p>
      <w:pPr>
        <w:pStyle w:val="Heading2"/>
      </w:pPr>
      <w:r>
        <w:t>Чжоу Дуньи: диаграмма, объяснение и Tongshu</w:t>
      </w:r>
    </w:p>
    <w:p>
      <w:r>
        <w:t>Для оригинала и локального поиска — 周元公集 KR4d0065; для отдельной переданной версии Tongshu — KR5i0080. Раннеминские пояснения Цао Дуаня к Taijitu shuo и Tongshu дают отдельный комментарийный слой. Различие между китайским оригиналом, поздним толкованием и современным переводом сохранено в отдельных строках.</w:t>
      </w:r>
      <w:r>
        <w:t xml:space="preserve"> </w:t>
      </w:r>
      <w:hyperlink r:id="rId15">
        <w:r>
          <w:rPr>
            <w:color w:val="17677D"/>
            <w:u w:val="single"/>
            <w:sz w:val="19"/>
            <w:rFonts w:ascii="Calibri" w:hAnsi="Calibri" w:eastAsia="Noto Sans CJK SC"/>
          </w:rPr>
          <w:t>[R009]</w:t>
        </w:r>
      </w:hyperlink>
      <w:r>
        <w:t xml:space="preserve"> · </w:t>
      </w:r>
      <w:hyperlink r:id="rId16">
        <w:r>
          <w:rPr>
            <w:color w:val="17677D"/>
            <w:u w:val="single"/>
            <w:sz w:val="19"/>
            <w:rFonts w:ascii="Calibri" w:hAnsi="Calibri" w:eastAsia="Noto Sans CJK SC"/>
          </w:rPr>
          <w:t>[R018]</w:t>
        </w:r>
      </w:hyperlink>
      <w:r>
        <w:t xml:space="preserve"> · </w:t>
      </w:r>
      <w:hyperlink r:id="rId71">
        <w:r>
          <w:rPr>
            <w:color w:val="17677D"/>
            <w:u w:val="single"/>
            <w:sz w:val="19"/>
            <w:rFonts w:ascii="Calibri" w:hAnsi="Calibri" w:eastAsia="Noto Sans CJK SC"/>
          </w:rPr>
          <w:t>[R019]</w:t>
        </w:r>
      </w:hyperlink>
      <w:r>
        <w:t xml:space="preserve"> · </w:t>
      </w:r>
      <w:hyperlink r:id="rId72">
        <w:r>
          <w:rPr>
            <w:color w:val="17677D"/>
            <w:u w:val="single"/>
            <w:sz w:val="19"/>
            <w:rFonts w:ascii="Calibri" w:hAnsi="Calibri" w:eastAsia="Noto Sans CJK SC"/>
          </w:rPr>
          <w:t>[R021]</w:t>
        </w:r>
      </w:hyperlink>
    </w:p>
    <w:p>
      <w:r>
        <w:t>Лучший проверенный бесплатный английский вход — авторская публикация Joseph A. Adler: Taijitu shuo целиком и главы 1–4, 16 и 20 Tongshu. Она полезна для чтения, но не обеспечивает перевод всех сорока глав. Общего разрешения на её зеркалирование не найдено. Полный современный книжный маршрут Zhou/Zhu и его точное оглавление остаются задачей G004.</w:t>
      </w:r>
      <w:r>
        <w:t xml:space="preserve"> </w:t>
      </w:r>
      <w:hyperlink r:id="rId73">
        <w:r>
          <w:rPr>
            <w:color w:val="17677D"/>
            <w:u w:val="single"/>
            <w:sz w:val="19"/>
            <w:rFonts w:ascii="Calibri" w:hAnsi="Calibri" w:eastAsia="Noto Sans CJK SC"/>
          </w:rPr>
          <w:t>[R023]</w:t>
        </w:r>
      </w:hyperlink>
    </w:p>
    <w:p>
      <w:pPr>
        <w:pStyle w:val="Heading2"/>
      </w:pPr>
      <w:r>
        <w:t>Чжан Цзай: Zhengmeng и Ximing</w:t>
      </w:r>
    </w:p>
    <w:p>
      <w:r>
        <w:t>Китайская основа — 張子全書 KR3a0026, включающее оба центральных текста. Поздние объяснения разделены: 西銘述解 Цао Дуаня и 注解正蒙 Ли Гуанди не являются новыми названиями оригинала. Открытая транскрипция пригодна для собственного перевода соответствующего исторического слоя с соблюдением CC BY-SA, но требует текстологической сверки.</w:t>
      </w:r>
      <w:r>
        <w:t xml:space="preserve"> </w:t>
      </w:r>
      <w:hyperlink r:id="rId11">
        <w:r>
          <w:rPr>
            <w:color w:val="17677D"/>
            <w:u w:val="single"/>
            <w:sz w:val="19"/>
            <w:rFonts w:ascii="Calibri" w:hAnsi="Calibri" w:eastAsia="Noto Sans CJK SC"/>
          </w:rPr>
          <w:t>[R002]</w:t>
        </w:r>
      </w:hyperlink>
      <w:r>
        <w:t xml:space="preserve"> · </w:t>
      </w:r>
      <w:hyperlink r:id="rId74">
        <w:r>
          <w:rPr>
            <w:color w:val="17677D"/>
            <w:u w:val="single"/>
            <w:sz w:val="19"/>
            <w:rFonts w:ascii="Calibri" w:hAnsi="Calibri" w:eastAsia="Noto Sans CJK SC"/>
          </w:rPr>
          <w:t>[R020]</w:t>
        </w:r>
      </w:hyperlink>
      <w:r>
        <w:t xml:space="preserve"> · </w:t>
      </w:r>
      <w:hyperlink r:id="rId66">
        <w:r>
          <w:rPr>
            <w:color w:val="17677D"/>
            <w:u w:val="single"/>
            <w:sz w:val="19"/>
            <w:rFonts w:ascii="Calibri" w:hAnsi="Calibri" w:eastAsia="Noto Sans CJK SC"/>
          </w:rPr>
          <w:t>[R052]</w:t>
        </w:r>
      </w:hyperlink>
    </w:p>
    <w:p>
      <w:r>
        <w:t>Современный немецкий научный перевод Rechtes Auflichten подтверждён университетским каталогом: Friedrich, Lackner, Reimann, Meiner, 1996, электронная запись с ISBN и DOI. В этом запуске открыт каталог, не сам лицензированный текст; поэтому это metadata-only, а не установленное бесплатное чтение. Испанские переводные публикации оставлены в G005–G006: официальные конечные точки не открылись.</w:t>
      </w:r>
      <w:r>
        <w:t xml:space="preserve"> </w:t>
      </w:r>
      <w:hyperlink r:id="rId75">
        <w:r>
          <w:rPr>
            <w:color w:val="17677D"/>
            <w:u w:val="single"/>
            <w:sz w:val="19"/>
            <w:rFonts w:ascii="Calibri" w:hAnsi="Calibri" w:eastAsia="Noto Sans CJK SC"/>
          </w:rPr>
          <w:t>[R069]</w:t>
        </w:r>
      </w:hyperlink>
    </w:p>
    <w:p>
      <w:pPr>
        <w:pStyle w:val="Heading2"/>
      </w:pPr>
      <w:r>
        <w:t>Братья Чэн и ближайшая линия передачи</w:t>
      </w:r>
    </w:p>
    <w:p>
      <w:r>
        <w:t>Предпочтительный оригинально-языковой маршрут — раздельные 二程遺書, 二程外書 и 二程粹言, плюс 伊川易傳 Чэн И. Последний нельзя заменять Zhouyi benyi Чжу Си: это разные комментарии. Вступительная библиография и структура пакета помогают различать учительские слова, ученическую запись и последующее редактирование. Shangcai yulu добавляет прямой следующий участок этой же педагогической линии.</w:t>
      </w:r>
      <w:r>
        <w:t xml:space="preserve"> </w:t>
      </w:r>
      <w:hyperlink r:id="rId12">
        <w:r>
          <w:rPr>
            <w:color w:val="17677D"/>
            <w:u w:val="single"/>
            <w:sz w:val="19"/>
            <w:rFonts w:ascii="Calibri" w:hAnsi="Calibri" w:eastAsia="Noto Sans CJK SC"/>
          </w:rPr>
          <w:t>[R003]</w:t>
        </w:r>
      </w:hyperlink>
      <w:r>
        <w:t xml:space="preserve"> · </w:t>
      </w:r>
      <w:hyperlink r:id="rId13">
        <w:r>
          <w:rPr>
            <w:color w:val="17677D"/>
            <w:u w:val="single"/>
            <w:sz w:val="19"/>
            <w:rFonts w:ascii="Calibri" w:hAnsi="Calibri" w:eastAsia="Noto Sans CJK SC"/>
          </w:rPr>
          <w:t>[R004]</w:t>
        </w:r>
      </w:hyperlink>
      <w:r>
        <w:t xml:space="preserve"> · </w:t>
      </w:r>
      <w:hyperlink r:id="rId14">
        <w:r>
          <w:rPr>
            <w:color w:val="17677D"/>
            <w:u w:val="single"/>
            <w:sz w:val="19"/>
            <w:rFonts w:ascii="Calibri" w:hAnsi="Calibri" w:eastAsia="Noto Sans CJK SC"/>
          </w:rPr>
          <w:t>[R005]</w:t>
        </w:r>
      </w:hyperlink>
      <w:r>
        <w:t xml:space="preserve"> · </w:t>
      </w:r>
      <w:hyperlink r:id="rId17">
        <w:r>
          <w:rPr>
            <w:color w:val="17677D"/>
            <w:u w:val="single"/>
            <w:sz w:val="19"/>
            <w:rFonts w:ascii="Calibri" w:hAnsi="Calibri" w:eastAsia="Noto Sans CJK SC"/>
          </w:rPr>
          <w:t>[R049]</w:t>
        </w:r>
      </w:hyperlink>
      <w:r>
        <w:t xml:space="preserve"> · </w:t>
      </w:r>
      <w:hyperlink r:id="rId47">
        <w:r>
          <w:rPr>
            <w:color w:val="17677D"/>
            <w:u w:val="single"/>
            <w:sz w:val="19"/>
            <w:rFonts w:ascii="Calibri" w:hAnsi="Calibri" w:eastAsia="Noto Sans CJK SC"/>
          </w:rPr>
          <w:t>[R073]</w:t>
        </w:r>
      </w:hyperlink>
    </w:p>
    <w:p>
      <w:r>
        <w:t>Для первого английского знакомства проверенный книжный Jinsilu переводит избранный материал северосунских мастеров. Он не даёт полного перевода корпуса братьев Чэн. Современный самостоятельный Yi River Commentary и другие полные переводы остаются отдельной задачей G022.</w:t>
      </w:r>
      <w:r>
        <w:t xml:space="preserve"> </w:t>
      </w:r>
      <w:hyperlink r:id="rId76">
        <w:r>
          <w:rPr>
            <w:color w:val="17677D"/>
            <w:u w:val="single"/>
            <w:sz w:val="19"/>
            <w:rFonts w:ascii="Calibri" w:hAnsi="Calibri" w:eastAsia="Noto Sans CJK SC"/>
          </w:rPr>
          <w:t>[R048]</w:t>
        </w:r>
      </w:hyperlink>
    </w:p>
    <w:p>
      <w:pPr>
        <w:pStyle w:val="Heading2"/>
      </w:pPr>
      <w:r>
        <w:t>Четверокнижие и комментарий Чжу Си</w:t>
      </w:r>
    </w:p>
    <w:p>
      <w:r>
        <w:t>Основной китайский вход — KR1h0015. Несмотря на сокращённый заголовок репозитория, проверенный пакет включает связанные блоки комментария к Четверокнижию. Дополняют его Sishu huowen, Lunmeng jingyi, юаньские Sishu tong / Du Sishu congshuo и минское Sishu daquan. Один портал или одно оглавление не выданы за пять независимых цифровых изданий.</w:t>
      </w:r>
      <w:r>
        <w:t xml:space="preserve"> </w:t>
      </w:r>
      <w:hyperlink r:id="rId18">
        <w:r>
          <w:rPr>
            <w:color w:val="17677D"/>
            <w:u w:val="single"/>
            <w:sz w:val="19"/>
            <w:rFonts w:ascii="Calibri" w:hAnsi="Calibri" w:eastAsia="Noto Sans CJK SC"/>
          </w:rPr>
          <w:t>[R001]</w:t>
        </w:r>
      </w:hyperlink>
      <w:r>
        <w:t xml:space="preserve"> · </w:t>
      </w:r>
      <w:hyperlink r:id="rId20">
        <w:r>
          <w:rPr>
            <w:color w:val="17677D"/>
            <w:u w:val="single"/>
            <w:sz w:val="19"/>
            <w:rFonts w:ascii="Calibri" w:hAnsi="Calibri" w:eastAsia="Noto Sans CJK SC"/>
          </w:rPr>
          <w:t>[R012]</w:t>
        </w:r>
      </w:hyperlink>
      <w:r>
        <w:t xml:space="preserve"> · </w:t>
      </w:r>
      <w:hyperlink r:id="rId21">
        <w:r>
          <w:rPr>
            <w:color w:val="17677D"/>
            <w:u w:val="single"/>
            <w:sz w:val="19"/>
            <w:rFonts w:ascii="Calibri" w:hAnsi="Calibri" w:eastAsia="Noto Sans CJK SC"/>
          </w:rPr>
          <w:t>[R013]</w:t>
        </w:r>
      </w:hyperlink>
      <w:r>
        <w:t xml:space="preserve"> · </w:t>
      </w:r>
      <w:hyperlink r:id="rId37">
        <w:r>
          <w:rPr>
            <w:color w:val="17677D"/>
            <w:u w:val="single"/>
            <w:sz w:val="19"/>
            <w:rFonts w:ascii="Calibri" w:hAnsi="Calibri" w:eastAsia="Noto Sans CJK SC"/>
          </w:rPr>
          <w:t>[R037]</w:t>
        </w:r>
      </w:hyperlink>
      <w:r>
        <w:t xml:space="preserve"> · </w:t>
      </w:r>
      <w:hyperlink r:id="rId38">
        <w:r>
          <w:rPr>
            <w:color w:val="17677D"/>
            <w:u w:val="single"/>
            <w:sz w:val="19"/>
            <w:rFonts w:ascii="Calibri" w:hAnsi="Calibri" w:eastAsia="Noto Sans CJK SC"/>
          </w:rPr>
          <w:t>[R038]</w:t>
        </w:r>
      </w:hyperlink>
      <w:r>
        <w:t xml:space="preserve"> · </w:t>
      </w:r>
      <w:hyperlink r:id="rId39">
        <w:r>
          <w:rPr>
            <w:color w:val="17677D"/>
            <w:u w:val="single"/>
            <w:sz w:val="19"/>
            <w:rFonts w:ascii="Calibri" w:hAnsi="Calibri" w:eastAsia="Noto Sans CJK SC"/>
          </w:rPr>
          <w:t>[R039]</w:t>
        </w:r>
      </w:hyperlink>
    </w:p>
    <w:p>
      <w:r>
        <w:t>Для русского чтения наиболее содержательная подтверждённая находка — «Мэнцзы» в переводе И. И. Семененко с полными комментариями Чжао Ци и Чжу Си: Наука — Восточная литература, 2016, 901 страница, ISBN 978-5-02-039765-1. Издательская карточка подтверждает состав и даёт маршрут приобретения. Бесплатный PDF и разрешение на перепубликацию не найдены; наличие товара и цена не утверждаются.</w:t>
      </w:r>
      <w:r>
        <w:t xml:space="preserve"> </w:t>
      </w:r>
      <w:hyperlink r:id="rId77">
        <w:r>
          <w:rPr>
            <w:color w:val="17677D"/>
            <w:u w:val="single"/>
            <w:sz w:val="19"/>
            <w:rFonts w:ascii="Calibri" w:hAnsi="Calibri" w:eastAsia="Noto Sans CJK SC"/>
          </w:rPr>
          <w:t>[R046]</w:t>
        </w:r>
      </w:hyperlink>
    </w:p>
    <w:p>
      <w:r>
        <w:t>Лучший проверенный старый английский вход для трёх книг — Legge, The Life and Teachings of Confucius, второе издание 1869 года, в электронном PDF OLL. Это Лунь юй, Да сюэ и Чжун юн, не весь Мэнцзы и не полный комментарий Чжу Си. Китайский оригинал из этого популярного издания исключён. Для современного бесплатного чтения Да сюэ и Чжун юна доступен 64-страничный перевод Robert Eno 2016 года с собственными ограниченными условиями использования.</w:t>
      </w:r>
      <w:r>
        <w:t xml:space="preserve"> </w:t>
      </w:r>
      <w:hyperlink r:id="rId50">
        <w:r>
          <w:rPr>
            <w:color w:val="17677D"/>
            <w:u w:val="single"/>
            <w:sz w:val="19"/>
            <w:rFonts w:ascii="Calibri" w:hAnsi="Calibri" w:eastAsia="Noto Sans CJK SC"/>
          </w:rPr>
          <w:t>[R028]</w:t>
        </w:r>
      </w:hyperlink>
      <w:r>
        <w:t xml:space="preserve"> · </w:t>
      </w:r>
      <w:hyperlink r:id="rId54">
        <w:r>
          <w:rPr>
            <w:color w:val="17677D"/>
            <w:u w:val="single"/>
            <w:sz w:val="19"/>
            <w:rFonts w:ascii="Calibri" w:hAnsi="Calibri" w:eastAsia="Noto Sans CJK SC"/>
          </w:rPr>
          <w:t>[R068]</w:t>
        </w:r>
      </w:hyperlink>
    </w:p>
    <w:p>
      <w:pPr>
        <w:pStyle w:val="Heading2"/>
      </w:pPr>
      <w:r>
        <w:t>Jinsilu</w:t>
      </w:r>
    </w:p>
    <w:p>
      <w:r>
        <w:t>Для китайского текста без обязательного современного перевода — Project Gutenberg 25249: доступны чтение и скачивание, статус заявлен для США. Для комментированного текста и машиночитаемой обработки — KR3a0042 с толкованиями Е Цая; для поздней отдельной комментарийной линии — KR3a0043 Мао Синлая. Это три разных редакционных входа, а не три разных первичных Jinsilu.</w:t>
      </w:r>
      <w:r>
        <w:t xml:space="preserve"> </w:t>
      </w:r>
      <w:hyperlink r:id="rId49">
        <w:r>
          <w:rPr>
            <w:color w:val="17677D"/>
            <w:u w:val="single"/>
            <w:sz w:val="19"/>
            <w:rFonts w:ascii="Calibri" w:hAnsi="Calibri" w:eastAsia="Noto Sans CJK SC"/>
          </w:rPr>
          <w:t>[R006]</w:t>
        </w:r>
      </w:hyperlink>
      <w:r>
        <w:t xml:space="preserve"> · </w:t>
      </w:r>
      <w:hyperlink r:id="rId78">
        <w:r>
          <w:rPr>
            <w:color w:val="17677D"/>
            <w:u w:val="single"/>
            <w:sz w:val="19"/>
            <w:rFonts w:ascii="Calibri" w:hAnsi="Calibri" w:eastAsia="Noto Sans CJK SC"/>
          </w:rPr>
          <w:t>[R029]</w:t>
        </w:r>
      </w:hyperlink>
      <w:r>
        <w:t xml:space="preserve"> · </w:t>
      </w:r>
      <w:hyperlink r:id="rId67">
        <w:r>
          <w:rPr>
            <w:color w:val="17677D"/>
            <w:u w:val="single"/>
            <w:sz w:val="19"/>
            <w:rFonts w:ascii="Calibri" w:hAnsi="Calibri" w:eastAsia="Noto Sans CJK SC"/>
          </w:rPr>
          <w:t>[R053]</w:t>
        </w:r>
      </w:hyperlink>
    </w:p>
    <w:p>
      <w:r>
        <w:t>Лучший подтверждённый современный английский книжный вариант — Wing-tsit Chan, Reflections on Things at Hand, Columbia University Press, 1967. Включён платный официальный маршрут. Факсимильный вход LoC пока ограничен двумя страницами 進近思錄表; доступность всего многотомника и условия изображений ещё не подтверждены.</w:t>
      </w:r>
      <w:r>
        <w:t xml:space="preserve"> </w:t>
      </w:r>
      <w:hyperlink r:id="rId76">
        <w:r>
          <w:rPr>
            <w:color w:val="17677D"/>
            <w:u w:val="single"/>
            <w:sz w:val="19"/>
            <w:rFonts w:ascii="Calibri" w:hAnsi="Calibri" w:eastAsia="Noto Sans CJK SC"/>
          </w:rPr>
          <w:t>[R048]</w:t>
        </w:r>
      </w:hyperlink>
      <w:r>
        <w:t xml:space="preserve"> · </w:t>
      </w:r>
      <w:hyperlink r:id="rId69">
        <w:r>
          <w:rPr>
            <w:color w:val="17677D"/>
            <w:u w:val="single"/>
            <w:sz w:val="19"/>
            <w:rFonts w:ascii="Calibri" w:hAnsi="Calibri" w:eastAsia="Noto Sans CJK SC"/>
          </w:rPr>
          <w:t>[R070]</w:t>
        </w:r>
      </w:hyperlink>
    </w:p>
    <w:p>
      <w:pPr>
        <w:pStyle w:val="Heading2"/>
      </w:pPr>
      <w:r>
        <w:t>Zhuzi yulei, письма и другие сочинения Чжу Си</w:t>
      </w:r>
    </w:p>
    <w:p>
      <w:r>
        <w:t>Для полного представленного китайского корпуса бесед — KR3a0047, 140 цзюаней по проверенному перечню. Для писем и других жанров — 晦菴集 KR4d0226; для переписки и полемики важны также 龍川集 и 南軒集. Собрания перекрываются по цитатам и письмам: одно письмо в нескольких изданиях не становится несколькими произведениями.</w:t>
      </w:r>
      <w:r>
        <w:t xml:space="preserve"> </w:t>
      </w:r>
      <w:hyperlink r:id="rId19">
        <w:r>
          <w:rPr>
            <w:color w:val="17677D"/>
            <w:u w:val="single"/>
            <w:sz w:val="19"/>
            <w:rFonts w:ascii="Calibri" w:hAnsi="Calibri" w:eastAsia="Noto Sans CJK SC"/>
          </w:rPr>
          <w:t>[R008]</w:t>
        </w:r>
      </w:hyperlink>
      <w:r>
        <w:t xml:space="preserve"> · </w:t>
      </w:r>
      <w:hyperlink r:id="rId23">
        <w:r>
          <w:rPr>
            <w:color w:val="17677D"/>
            <w:u w:val="single"/>
            <w:sz w:val="19"/>
            <w:rFonts w:ascii="Calibri" w:hAnsi="Calibri" w:eastAsia="Noto Sans CJK SC"/>
          </w:rPr>
          <w:t>[R015]</w:t>
        </w:r>
      </w:hyperlink>
      <w:r>
        <w:t xml:space="preserve"> · </w:t>
      </w:r>
      <w:hyperlink r:id="rId44">
        <w:r>
          <w:rPr>
            <w:color w:val="17677D"/>
            <w:u w:val="single"/>
            <w:sz w:val="19"/>
            <w:rFonts w:ascii="Calibri" w:hAnsi="Calibri" w:eastAsia="Noto Sans CJK SC"/>
          </w:rPr>
          <w:t>[R062]</w:t>
        </w:r>
      </w:hyperlink>
      <w:r>
        <w:t xml:space="preserve"> · </w:t>
      </w:r>
      <w:hyperlink r:id="rId45">
        <w:r>
          <w:rPr>
            <w:color w:val="17677D"/>
            <w:u w:val="single"/>
            <w:sz w:val="19"/>
            <w:rFonts w:ascii="Calibri" w:hAnsi="Calibri" w:eastAsia="Noto Sans CJK SC"/>
          </w:rPr>
          <w:t>[R063]</w:t>
        </w:r>
      </w:hyperlink>
    </w:p>
    <w:p>
      <w:r>
        <w:t>Learning to Be a Sage Daniel K. Gardner, UC Press, 1990, даёт современный научный перевод избранного материала об учении, а не всех 140 цзюаней. Официальная покупка и отдельный издательски связанный Google Books preview сохранены разными маршрутами. Бесплатный авторский PDF Adler 易學啟蒙 — другое сочинение и другой перевод, не альтернативное название этой книги.</w:t>
      </w:r>
      <w:r>
        <w:t xml:space="preserve"> </w:t>
      </w:r>
      <w:hyperlink r:id="rId25">
        <w:r>
          <w:rPr>
            <w:color w:val="17677D"/>
            <w:u w:val="single"/>
            <w:sz w:val="19"/>
            <w:rFonts w:ascii="Calibri" w:hAnsi="Calibri" w:eastAsia="Noto Sans CJK SC"/>
          </w:rPr>
          <w:t>[R024]</w:t>
        </w:r>
      </w:hyperlink>
      <w:r>
        <w:t xml:space="preserve"> · </w:t>
      </w:r>
      <w:hyperlink r:id="rId79">
        <w:r>
          <w:rPr>
            <w:color w:val="17677D"/>
            <w:u w:val="single"/>
            <w:sz w:val="19"/>
            <w:rFonts w:ascii="Calibri" w:hAnsi="Calibri" w:eastAsia="Noto Sans CJK SC"/>
          </w:rPr>
          <w:t>[R042]</w:t>
        </w:r>
      </w:hyperlink>
      <w:r>
        <w:t xml:space="preserve"> · </w:t>
      </w:r>
      <w:hyperlink r:id="rId80">
        <w:r>
          <w:rPr>
            <w:color w:val="17677D"/>
            <w:u w:val="single"/>
            <w:sz w:val="19"/>
            <w:rFonts w:ascii="Calibri" w:hAnsi="Calibri" w:eastAsia="Noto Sans CJK SC"/>
          </w:rPr>
          <w:t>[R043]</w:t>
        </w:r>
      </w:hyperlink>
    </w:p>
    <w:p>
      <w:r>
        <w:t>Для экзегезы И цзина и Ши цзина — KR1a0031 и KR1c0015; для английского Zhouyi benyi — The Original Meaning of the Yijing, перевод Adler, официальный Columbia UP. Небольшие авторские PDF 易寂感說 и 元亨利貞說 помогают читать конкретные трактовки, но их доступность не открывает весь переводной корпус Adler для ToS.</w:t>
      </w:r>
      <w:r>
        <w:t xml:space="preserve"> </w:t>
      </w:r>
      <w:hyperlink r:id="rId22">
        <w:r>
          <w:rPr>
            <w:color w:val="17677D"/>
            <w:u w:val="single"/>
            <w:sz w:val="19"/>
            <w:rFonts w:ascii="Calibri" w:hAnsi="Calibri" w:eastAsia="Noto Sans CJK SC"/>
          </w:rPr>
          <w:t>[R014]</w:t>
        </w:r>
      </w:hyperlink>
      <w:r>
        <w:t xml:space="preserve"> · </w:t>
      </w:r>
      <w:hyperlink r:id="rId26">
        <w:r>
          <w:rPr>
            <w:color w:val="17677D"/>
            <w:u w:val="single"/>
            <w:sz w:val="19"/>
            <w:rFonts w:ascii="Calibri" w:hAnsi="Calibri" w:eastAsia="Noto Sans CJK SC"/>
          </w:rPr>
          <w:t>[R026]</w:t>
        </w:r>
      </w:hyperlink>
      <w:r>
        <w:t xml:space="preserve"> · </w:t>
      </w:r>
      <w:hyperlink r:id="rId27">
        <w:r>
          <w:rPr>
            <w:color w:val="17677D"/>
            <w:u w:val="single"/>
            <w:sz w:val="19"/>
            <w:rFonts w:ascii="Calibri" w:hAnsi="Calibri" w:eastAsia="Noto Sans CJK SC"/>
          </w:rPr>
          <w:t>[R027]</w:t>
        </w:r>
      </w:hyperlink>
      <w:r>
        <w:t xml:space="preserve"> · </w:t>
      </w:r>
      <w:hyperlink r:id="rId81">
        <w:r>
          <w:rPr>
            <w:color w:val="17677D"/>
            <w:u w:val="single"/>
            <w:sz w:val="19"/>
            <w:rFonts w:ascii="Calibri" w:hAnsi="Calibri" w:eastAsia="Noto Sans CJK SC"/>
          </w:rPr>
          <w:t>[R031]</w:t>
        </w:r>
      </w:hyperlink>
      <w:r>
        <w:t xml:space="preserve"> · </w:t>
      </w:r>
      <w:hyperlink r:id="rId30">
        <w:r>
          <w:rPr>
            <w:color w:val="17677D"/>
            <w:u w:val="single"/>
            <w:sz w:val="19"/>
            <w:rFonts w:ascii="Calibri" w:hAnsi="Calibri" w:eastAsia="Noto Sans CJK SC"/>
          </w:rPr>
          <w:t>[R071]</w:t>
        </w:r>
      </w:hyperlink>
    </w:p>
    <w:p>
      <w:pPr>
        <w:pStyle w:val="Heading2"/>
      </w:pPr>
      <w:r>
        <w:t>Ритуал, обучение и юаньско-минские компиляции</w:t>
      </w:r>
    </w:p>
    <w:p>
      <w:r>
        <w:t>Сопоставлять 家禮 следует с прямым предшественником 書儀 и современным переводом Patricia Buckley Ebrey, Chu Hsi’s Family Rituals, Princeton, 1991. JSTOR предоставляет институциональный маршрут и ограниченное ознакомление; право на собственное зеркало не установлено. Главный ритуальный пробел — полный 儀禮經傳通解 с продолжением, а не отсутствие ритуального материала вообще.</w:t>
      </w:r>
      <w:r>
        <w:t xml:space="preserve"> </w:t>
      </w:r>
      <w:hyperlink r:id="rId24">
        <w:r>
          <w:rPr>
            <w:color w:val="17677D"/>
            <w:u w:val="single"/>
            <w:sz w:val="19"/>
            <w:rFonts w:ascii="Calibri" w:hAnsi="Calibri" w:eastAsia="Noto Sans CJK SC"/>
          </w:rPr>
          <w:t>[R017]</w:t>
        </w:r>
      </w:hyperlink>
      <w:r>
        <w:t xml:space="preserve"> · </w:t>
      </w:r>
      <w:hyperlink r:id="rId82">
        <w:r>
          <w:rPr>
            <w:color w:val="17677D"/>
            <w:u w:val="single"/>
            <w:sz w:val="19"/>
            <w:rFonts w:ascii="Calibri" w:hAnsi="Calibri" w:eastAsia="Noto Sans CJK SC"/>
          </w:rPr>
          <w:t>[R044]</w:t>
        </w:r>
      </w:hyperlink>
      <w:r>
        <w:t xml:space="preserve"> · </w:t>
      </w:r>
      <w:hyperlink r:id="rId57">
        <w:r>
          <w:rPr>
            <w:color w:val="17677D"/>
            <w:u w:val="single"/>
            <w:sz w:val="19"/>
            <w:rFonts w:ascii="Calibri" w:hAnsi="Calibri" w:eastAsia="Noto Sans CJK SC"/>
          </w:rPr>
          <w:t>[R072]</w:t>
        </w:r>
      </w:hyperlink>
    </w:p>
    <w:p>
      <w:r>
        <w:t>Для самообразования и школьной среды полезны 御定小學集註, 程氏家塾讀書分年日程, 朱子讀書法 и 心經; для государственно-комментарийного слоя — 性理大全書, 四書大全, 大學衍義 и 大學衍義補. Xinjing Чжэнь Дэсю здесь — конфуцианская антология о сердце-сознании, не буддийская «Сутра сердца». Ранние исходные редакции и поздние дополнения не слиты.</w:t>
      </w:r>
      <w:r>
        <w:t xml:space="preserve"> </w:t>
      </w:r>
      <w:hyperlink r:id="rId64">
        <w:r>
          <w:rPr>
            <w:color w:val="17677D"/>
            <w:u w:val="single"/>
            <w:sz w:val="19"/>
            <w:rFonts w:ascii="Calibri" w:hAnsi="Calibri" w:eastAsia="Noto Sans CJK SC"/>
          </w:rPr>
          <w:t>[R022]</w:t>
        </w:r>
      </w:hyperlink>
      <w:r>
        <w:t xml:space="preserve"> · </w:t>
      </w:r>
      <w:hyperlink r:id="rId35">
        <w:r>
          <w:rPr>
            <w:color w:val="17677D"/>
            <w:u w:val="single"/>
            <w:sz w:val="19"/>
            <w:rFonts w:ascii="Calibri" w:hAnsi="Calibri" w:eastAsia="Noto Sans CJK SC"/>
          </w:rPr>
          <w:t>[R033]</w:t>
        </w:r>
      </w:hyperlink>
      <w:r>
        <w:t xml:space="preserve"> · </w:t>
      </w:r>
      <w:hyperlink r:id="rId42">
        <w:r>
          <w:rPr>
            <w:color w:val="17677D"/>
            <w:u w:val="single"/>
            <w:sz w:val="19"/>
            <w:rFonts w:ascii="Calibri" w:hAnsi="Calibri" w:eastAsia="Noto Sans CJK SC"/>
          </w:rPr>
          <w:t>[R035]</w:t>
        </w:r>
      </w:hyperlink>
      <w:r>
        <w:t xml:space="preserve"> · </w:t>
      </w:r>
      <w:hyperlink r:id="rId36">
        <w:r>
          <w:rPr>
            <w:color w:val="17677D"/>
            <w:u w:val="single"/>
            <w:sz w:val="19"/>
            <w:rFonts w:ascii="Calibri" w:hAnsi="Calibri" w:eastAsia="Noto Sans CJK SC"/>
          </w:rPr>
          <w:t>[R036]</w:t>
        </w:r>
      </w:hyperlink>
      <w:r>
        <w:t xml:space="preserve"> · </w:t>
      </w:r>
      <w:hyperlink r:id="rId37">
        <w:r>
          <w:rPr>
            <w:color w:val="17677D"/>
            <w:u w:val="single"/>
            <w:sz w:val="19"/>
            <w:rFonts w:ascii="Calibri" w:hAnsi="Calibri" w:eastAsia="Noto Sans CJK SC"/>
          </w:rPr>
          <w:t>[R037]</w:t>
        </w:r>
      </w:hyperlink>
      <w:r>
        <w:t xml:space="preserve"> · </w:t>
      </w:r>
      <w:hyperlink r:id="rId40">
        <w:r>
          <w:rPr>
            <w:color w:val="17677D"/>
            <w:u w:val="single"/>
            <w:sz w:val="19"/>
            <w:rFonts w:ascii="Calibri" w:hAnsi="Calibri" w:eastAsia="Noto Sans CJK SC"/>
          </w:rPr>
          <w:t>[R054]</w:t>
        </w:r>
      </w:hyperlink>
      <w:r>
        <w:t xml:space="preserve"> · </w:t>
      </w:r>
      <w:hyperlink r:id="rId31">
        <w:r>
          <w:rPr>
            <w:color w:val="17677D"/>
            <w:u w:val="single"/>
            <w:sz w:val="19"/>
            <w:rFonts w:ascii="Calibri" w:hAnsi="Calibri" w:eastAsia="Noto Sans CJK SC"/>
          </w:rPr>
          <w:t>[R074]</w:t>
        </w:r>
      </w:hyperlink>
      <w:r>
        <w:t xml:space="preserve"> · </w:t>
      </w:r>
      <w:hyperlink r:id="rId48">
        <w:r>
          <w:rPr>
            <w:color w:val="17677D"/>
            <w:u w:val="single"/>
            <w:sz w:val="19"/>
            <w:rFonts w:ascii="Calibri" w:hAnsi="Calibri" w:eastAsia="Noto Sans CJK SC"/>
          </w:rPr>
          <w:t>[R075]</w:t>
        </w:r>
      </w:hyperlink>
    </w:p>
    <w:p>
      <w:pPr>
        <w:pStyle w:val="Heading2"/>
      </w:pPr>
      <w:r>
        <w:t>Лу Цзююань, Ван Янмин и последующая рецепция</w:t>
      </w:r>
    </w:p>
    <w:p>
      <w:r>
        <w:t>Для Лу — китайское 象山先生全集. Для Вана — полный трёхчастный 傳習錄 на Wikisource как маршрут чтения; источник печатной редакции там не установлен, поэтому автоматический собственный перевод и зеркало не рекомендованы. Kanripo 陽明先生集要 содержит только подтверждённый набор файлов 010–031: он помечен substantial_part и не заменяет полное собрание Вана.</w:t>
      </w:r>
      <w:r>
        <w:t xml:space="preserve"> </w:t>
      </w:r>
      <w:hyperlink r:id="rId32">
        <w:r>
          <w:rPr>
            <w:color w:val="17677D"/>
            <w:u w:val="single"/>
            <w:sz w:val="19"/>
            <w:rFonts w:ascii="Calibri" w:hAnsi="Calibri" w:eastAsia="Noto Sans CJK SC"/>
          </w:rPr>
          <w:t>[R010]</w:t>
        </w:r>
      </w:hyperlink>
      <w:r>
        <w:t xml:space="preserve"> · </w:t>
      </w:r>
      <w:hyperlink r:id="rId59">
        <w:r>
          <w:rPr>
            <w:color w:val="17677D"/>
            <w:u w:val="single"/>
            <w:sz w:val="19"/>
            <w:rFonts w:ascii="Calibri" w:hAnsi="Calibri" w:eastAsia="Noto Sans CJK SC"/>
          </w:rPr>
          <w:t>[R041]</w:t>
        </w:r>
      </w:hyperlink>
      <w:r>
        <w:t xml:space="preserve"> · </w:t>
      </w:r>
      <w:hyperlink r:id="rId63">
        <w:r>
          <w:rPr>
            <w:color w:val="17677D"/>
            <w:u w:val="single"/>
            <w:sz w:val="19"/>
            <w:rFonts w:ascii="Calibri" w:hAnsi="Calibri" w:eastAsia="Noto Sans CJK SC"/>
          </w:rPr>
          <w:t>[R065]</w:t>
        </w:r>
      </w:hyperlink>
    </w:p>
    <w:p>
      <w:r>
        <w:t>Старый английский перевод Henke 1916 года найден в институциональной оцифровке UCLA на Internet Archive. Полный OCR открыт, отдельный PDF не загрузился инструментом, хотя скачивание предлагается. Современный Chan 1963 года подтверждён библиотекой Wellcome/ACLS; ссылка на лицензированный полный текст присутствует, но конечный Handle не открылся. Двухстраничный официальный учебный отрывок Columbia о единстве знания и действия — только отрывок.</w:t>
      </w:r>
      <w:r>
        <w:t xml:space="preserve"> </w:t>
      </w:r>
      <w:hyperlink r:id="rId58">
        <w:r>
          <w:rPr>
            <w:color w:val="17677D"/>
            <w:u w:val="single"/>
            <w:sz w:val="19"/>
            <w:rFonts w:ascii="Calibri" w:hAnsi="Calibri" w:eastAsia="Noto Sans CJK SC"/>
          </w:rPr>
          <w:t>[R030]</w:t>
        </w:r>
      </w:hyperlink>
      <w:r>
        <w:t xml:space="preserve"> · </w:t>
      </w:r>
      <w:hyperlink r:id="rId60">
        <w:r>
          <w:rPr>
            <w:color w:val="17677D"/>
            <w:u w:val="single"/>
            <w:sz w:val="19"/>
            <w:rFonts w:ascii="Calibri" w:hAnsi="Calibri" w:eastAsia="Noto Sans CJK SC"/>
          </w:rPr>
          <w:t>[R045]</w:t>
        </w:r>
      </w:hyperlink>
      <w:r>
        <w:t xml:space="preserve"> · </w:t>
      </w:r>
      <w:hyperlink r:id="rId61">
        <w:r>
          <w:rPr>
            <w:color w:val="17677D"/>
            <w:u w:val="single"/>
            <w:sz w:val="19"/>
            <w:rFonts w:ascii="Calibri" w:hAnsi="Calibri" w:eastAsia="Noto Sans CJK SC"/>
          </w:rPr>
          <w:t>[R047]</w:t>
        </w:r>
      </w:hyperlink>
    </w:p>
    <w:p>
      <w:r>
        <w:t>Для поздней прямой рецепции — 困知記, 明儒學案 и музейное предисловие к 朱子全書. Последнее особенно полезно как небольшой объект с явно разделёнными лицензиями: оно не заменяет саму императорскую компиляцию и не превращает музейные фотографии других книг в открытый корпус.</w:t>
      </w:r>
      <w:r>
        <w:t xml:space="preserve"> </w:t>
      </w:r>
      <w:hyperlink r:id="rId62">
        <w:r>
          <w:rPr>
            <w:color w:val="17677D"/>
            <w:u w:val="single"/>
            <w:sz w:val="19"/>
            <w:rFonts w:ascii="Calibri" w:hAnsi="Calibri" w:eastAsia="Noto Sans CJK SC"/>
          </w:rPr>
          <w:t>[R050]</w:t>
        </w:r>
      </w:hyperlink>
      <w:r>
        <w:t xml:space="preserve"> · </w:t>
      </w:r>
      <w:hyperlink r:id="rId65">
        <w:r>
          <w:rPr>
            <w:color w:val="17677D"/>
            <w:u w:val="single"/>
            <w:sz w:val="19"/>
            <w:rFonts w:ascii="Calibri" w:hAnsi="Calibri" w:eastAsia="Noto Sans CJK SC"/>
          </w:rPr>
          <w:t>[R051]</w:t>
        </w:r>
      </w:hyperlink>
      <w:r>
        <w:t xml:space="preserve"> · </w:t>
      </w:r>
      <w:hyperlink r:id="rId68">
        <w:r>
          <w:rPr>
            <w:color w:val="17677D"/>
            <w:u w:val="single"/>
            <w:sz w:val="19"/>
            <w:rFonts w:ascii="Calibri" w:hAnsi="Calibri" w:eastAsia="Noto Sans CJK SC"/>
          </w:rPr>
          <w:t>[R066]</w:t>
        </w:r>
      </w:hyperlink>
      <w:r>
        <w:t xml:space="preserve"> · </w:t>
      </w:r>
      <w:hyperlink r:id="rId68">
        <w:r>
          <w:rPr>
            <w:color w:val="17677D"/>
            <w:u w:val="single"/>
            <w:sz w:val="19"/>
            <w:rFonts w:ascii="Calibri" w:hAnsi="Calibri" w:eastAsia="Noto Sans CJK SC"/>
          </w:rPr>
          <w:t>[R067]</w:t>
        </w:r>
      </w:hyperlink>
    </w:p>
    <w:p>
      <w:r>
        <w:br w:type="page"/>
      </w:r>
    </w:p>
    <w:p>
      <w:pPr>
        <w:pStyle w:val="Heading1"/>
      </w:pPr>
      <w:r>
        <w:t>4. Карта прав и практического использования</w:t>
      </w:r>
    </w:p>
    <w:p>
      <w:pPr>
        <w:pStyle w:val="Heading2"/>
      </w:pPr>
      <w:r>
        <w:t>Текстовый слой Kanripo: наиболее масштабная открытая основа</w:t>
      </w:r>
    </w:p>
    <w:p>
      <w:r>
        <w:t>Официальный профиль Kanripo прямо обозначает собрание премодерных китайских текстов как CC BY-SA 4.0. В реестре это проектное, не индивидуальное для каждого файла, лицензионное доказательство; уверенность поэтому medium. Положительные теги относятся к текстовым файлам конкретного репозитория и указанной редакции, а не к любым сканам, современной научной литературе или сайтам, на которые он ссылается.</w:t>
      </w:r>
      <w:r>
        <w:t xml:space="preserve"> </w:t>
      </w:r>
      <w:hyperlink r:id="rId83">
        <w:r>
          <w:rPr>
            <w:color w:val="17677D"/>
            <w:u w:val="single"/>
            <w:sz w:val="19"/>
            <w:rFonts w:ascii="Calibri" w:hAnsi="Calibri" w:eastAsia="Noto Sans CJK SC"/>
          </w:rPr>
          <w:t>[R007]</w:t>
        </w:r>
      </w:hyperlink>
    </w:p>
    <w:p>
      <w:r>
        <w:t xml:space="preserve">Практический режим: сохранять название, источник, ссылку на лицензию и отметку изменений; при распространении адаптированного текста соблюдать ShareAlike. Оригинально-языковые транскрипции могут служить базой собственного перевода ToS в пределах содержащегося текста. Современный аппарат, если он добавлен к историческому материалу, требует отдельной проверки. </w:t>
      </w:r>
      <w:hyperlink r:id="rId84">
        <w:r>
          <w:rPr>
            <w:color w:val="17677D"/>
            <w:u w:val="single"/>
            <w:sz w:val="19"/>
            <w:rFonts w:ascii="Calibri" w:hAnsi="Calibri" w:eastAsia="Noto Sans CJK SC"/>
          </w:rPr>
          <w:t>Лицензия CC BY-SA 4.0</w:t>
        </w:r>
      </w:hyperlink>
    </w:p>
    <w:p>
      <w:r>
        <w:t>FULLTEXT_INDEX_OK в этих строках относится к открытому текстовому слою. EMBEDDINGS_OK ограничен локальным исследовательским построением векторов; пакет не устанавливает, как лицензировать публично выпускаемые веса модели или иные производные продукты. OCR для готовых TXT не нужен и не присваивается как универсальное разрешение на исходные изображения.</w:t>
      </w:r>
    </w:p>
    <w:p>
      <w:pPr>
        <w:pStyle w:val="Heading2"/>
      </w:pPr>
      <w:r>
        <w:t>Музейный объект: CC BY и CC0 разного разрешения</w:t>
      </w:r>
    </w:p>
    <w:p>
      <w:r>
        <w:t>У NPM для одного предисловия 1713 года прямо разделены 6-Мп изображения и текстовая транскрипция под CC BY 4.0, с одной стороны, и 1-Мп изображения под CC0 — с другой. Поэтому это две записи доступа/качества с разными правами, но одно произведение и один физический свидетель. Для первого слоя обязательна указанная музеем атрибуция; для второго публично-доменное посвящение не названо Public Domain Mark.</w:t>
      </w:r>
      <w:r>
        <w:t xml:space="preserve"> </w:t>
      </w:r>
      <w:hyperlink r:id="rId68">
        <w:r>
          <w:rPr>
            <w:color w:val="17677D"/>
            <w:u w:val="single"/>
            <w:sz w:val="19"/>
            <w:rFonts w:ascii="Calibri" w:hAnsi="Calibri" w:eastAsia="Noto Sans CJK SC"/>
          </w:rPr>
          <w:t>[R066]</w:t>
        </w:r>
      </w:hyperlink>
      <w:r>
        <w:t xml:space="preserve"> · </w:t>
      </w:r>
      <w:hyperlink r:id="rId68">
        <w:r>
          <w:rPr>
            <w:color w:val="17677D"/>
            <w:u w:val="single"/>
            <w:sz w:val="19"/>
            <w:rFonts w:ascii="Calibri" w:hAnsi="Calibri" w:eastAsia="Noto Sans CJK SC"/>
          </w:rPr>
          <w:t>[R067]</w:t>
        </w:r>
      </w:hyperlink>
    </w:p>
    <w:p>
      <w:r>
        <w:t>OCR_OK относится только к лицензированным изображениям этого предисловия; FULLTEXT_INDEX_OK — к соответствующей транскрипции/полученному разрешённому тексту. OWN_TRANSLATION_POSSIBLE означает перевод предисловия, не всего Zhuzi quanshu. Разрешение не гарантирует, что 1 Мп достаточно для точного OCR. Скачивание предлагается после CAPTCHA, которую в этом исследовании не проходили. IIIF viewer открыт лишь как оболочка: работоспособный manifest/API-экспорт не подтверждён.</w:t>
      </w:r>
      <w:r>
        <w:t xml:space="preserve"> </w:t>
      </w:r>
      <w:hyperlink r:id="rId68">
        <w:r>
          <w:rPr>
            <w:color w:val="17677D"/>
            <w:u w:val="single"/>
            <w:sz w:val="19"/>
            <w:rFonts w:ascii="Calibri" w:hAnsi="Calibri" w:eastAsia="Noto Sans CJK SC"/>
          </w:rPr>
          <w:t>[R066]</w:t>
        </w:r>
      </w:hyperlink>
      <w:r>
        <w:t xml:space="preserve"> · </w:t>
      </w:r>
      <w:hyperlink r:id="rId68">
        <w:r>
          <w:rPr>
            <w:color w:val="17677D"/>
            <w:u w:val="single"/>
            <w:sz w:val="19"/>
            <w:rFonts w:ascii="Calibri" w:hAnsi="Calibri" w:eastAsia="Noto Sans CJK SC"/>
          </w:rPr>
          <w:t>[R067]</w:t>
        </w:r>
      </w:hyperlink>
    </w:p>
    <w:p>
      <w:pPr>
        <w:pStyle w:val="Heading2"/>
      </w:pPr>
      <w:r>
        <w:t>Некоммерческий машиночитаемый слой</w:t>
      </w:r>
    </w:p>
    <w:p>
      <w:r>
        <w:t>Для CBDB сохранён один SQLite release, а не отдельная запись на каждого мыслителя. Официальный dataset указывает CC BY-NC-SA 4.0; его можно рассматривать для некоммерческих исследовательских копий, индекса данных и соответствующего распространения с атрибуцией и ShareAlike. Условия относятся к базе, не ко всем книгам, из которых извлечены сведения, и не автоматически к программному коду рядом с ней. Весь release не является философским текстом T2-46: из него нужно отбирать релевантные данные.</w:t>
      </w:r>
      <w:r>
        <w:t xml:space="preserve"> </w:t>
      </w:r>
      <w:hyperlink r:id="rId85">
        <w:r>
          <w:rPr>
            <w:color w:val="17677D"/>
            <w:u w:val="single"/>
            <w:sz w:val="19"/>
            <w:rFonts w:ascii="Calibri" w:hAnsi="Calibri" w:eastAsia="Noto Sans CJK SC"/>
          </w:rPr>
          <w:t>[R032]</w:t>
        </w:r>
      </w:hyperlink>
    </w:p>
    <w:p>
      <w:r>
        <w:t>Отсутствие планов продавать произведения само по себе не доказывает соответствие любого будущего использования условию NC. При изменении модели финансирования или способа распространения потребуется новая проверка. CBDB полезна прежде всего для авторов, связей, должностей и ссылок на источники, а не как замена оригинальных трактатов.</w:t>
      </w:r>
      <w:r>
        <w:t xml:space="preserve"> </w:t>
      </w:r>
      <w:hyperlink r:id="rId85">
        <w:r>
          <w:rPr>
            <w:color w:val="17677D"/>
            <w:u w:val="single"/>
            <w:sz w:val="19"/>
            <w:rFonts w:ascii="Calibri" w:hAnsi="Calibri" w:eastAsia="Noto Sans CJK SC"/>
          </w:rPr>
          <w:t>[R032]</w:t>
        </w:r>
      </w:hyperlink>
    </w:p>
    <w:p>
      <w:pPr>
        <w:pStyle w:val="Heading2"/>
      </w:pPr>
      <w:r>
        <w:t>Читать и скачивать можно; публиковать копию — не установлено</w:t>
      </w:r>
    </w:p>
    <w:p>
      <w:r>
        <w:t>У переводов Adler подтверждён авторский путь доступа, но открытая лицензия повторного использования не найдена. У Eno есть собственное разрешение для личного использования и некоммерческой образовательной среды; оно не приравнено к общей лицензии на публичное зеркало, переработку и индексацию всего PDF. Отрывок AFE/Columbia опубликован легально как разрешённый материал, однако сохраняет защищённый переводной слой.</w:t>
      </w:r>
      <w:r>
        <w:t xml:space="preserve"> </w:t>
      </w:r>
      <w:hyperlink r:id="rId73">
        <w:r>
          <w:rPr>
            <w:color w:val="17677D"/>
            <w:u w:val="single"/>
            <w:sz w:val="19"/>
            <w:rFonts w:ascii="Calibri" w:hAnsi="Calibri" w:eastAsia="Noto Sans CJK SC"/>
          </w:rPr>
          <w:t>[R023]</w:t>
        </w:r>
      </w:hyperlink>
      <w:r>
        <w:t xml:space="preserve"> · </w:t>
      </w:r>
      <w:hyperlink r:id="rId25">
        <w:r>
          <w:rPr>
            <w:color w:val="17677D"/>
            <w:u w:val="single"/>
            <w:sz w:val="19"/>
            <w:rFonts w:ascii="Calibri" w:hAnsi="Calibri" w:eastAsia="Noto Sans CJK SC"/>
          </w:rPr>
          <w:t>[R024]</w:t>
        </w:r>
      </w:hyperlink>
      <w:r>
        <w:t xml:space="preserve"> · </w:t>
      </w:r>
      <w:hyperlink r:id="rId86">
        <w:r>
          <w:rPr>
            <w:color w:val="17677D"/>
            <w:u w:val="single"/>
            <w:sz w:val="19"/>
            <w:rFonts w:ascii="Calibri" w:hAnsi="Calibri" w:eastAsia="Noto Sans CJK SC"/>
          </w:rPr>
          <w:t>[R025]</w:t>
        </w:r>
      </w:hyperlink>
      <w:r>
        <w:t xml:space="preserve"> · </w:t>
      </w:r>
      <w:hyperlink r:id="rId26">
        <w:r>
          <w:rPr>
            <w:color w:val="17677D"/>
            <w:u w:val="single"/>
            <w:sz w:val="19"/>
            <w:rFonts w:ascii="Calibri" w:hAnsi="Calibri" w:eastAsia="Noto Sans CJK SC"/>
          </w:rPr>
          <w:t>[R026]</w:t>
        </w:r>
      </w:hyperlink>
      <w:r>
        <w:t xml:space="preserve"> · </w:t>
      </w:r>
      <w:hyperlink r:id="rId27">
        <w:r>
          <w:rPr>
            <w:color w:val="17677D"/>
            <w:u w:val="single"/>
            <w:sz w:val="19"/>
            <w:rFonts w:ascii="Calibri" w:hAnsi="Calibri" w:eastAsia="Noto Sans CJK SC"/>
          </w:rPr>
          <w:t>[R027]</w:t>
        </w:r>
      </w:hyperlink>
      <w:r>
        <w:t xml:space="preserve"> · </w:t>
      </w:r>
      <w:hyperlink r:id="rId50">
        <w:r>
          <w:rPr>
            <w:color w:val="17677D"/>
            <w:u w:val="single"/>
            <w:sz w:val="19"/>
            <w:rFonts w:ascii="Calibri" w:hAnsi="Calibri" w:eastAsia="Noto Sans CJK SC"/>
          </w:rPr>
          <w:t>[R028]</w:t>
        </w:r>
      </w:hyperlink>
      <w:r>
        <w:t xml:space="preserve"> · </w:t>
      </w:r>
      <w:hyperlink r:id="rId61">
        <w:r>
          <w:rPr>
            <w:color w:val="17677D"/>
            <w:u w:val="single"/>
            <w:sz w:val="19"/>
            <w:rFonts w:ascii="Calibri" w:hAnsi="Calibri" w:eastAsia="Noto Sans CJK SC"/>
          </w:rPr>
          <w:t>[R047]</w:t>
        </w:r>
      </w:hyperlink>
    </w:p>
    <w:p>
      <w:r>
        <w:t>Legge в OLL и Henke в Internet Archive дают старые английские тексты, но их цифровые оболочки, платформенные уведомления и юрисдикционные формулировки необходимо учитывать отдельно. Project Gutenberg заявляет public domain in the USA для данного Jinsilu; из этого не выведено безусловное разрешение для всех стран. Скачивание и исследовательская копия не равны публичной раздаче файла ToS.</w:t>
      </w:r>
      <w:r>
        <w:t xml:space="preserve"> </w:t>
      </w:r>
      <w:hyperlink r:id="rId78">
        <w:r>
          <w:rPr>
            <w:color w:val="17677D"/>
            <w:u w:val="single"/>
            <w:sz w:val="19"/>
            <w:rFonts w:ascii="Calibri" w:hAnsi="Calibri" w:eastAsia="Noto Sans CJK SC"/>
          </w:rPr>
          <w:t>[R029]</w:t>
        </w:r>
      </w:hyperlink>
      <w:r>
        <w:t xml:space="preserve"> · </w:t>
      </w:r>
      <w:hyperlink r:id="rId58">
        <w:r>
          <w:rPr>
            <w:color w:val="17677D"/>
            <w:u w:val="single"/>
            <w:sz w:val="19"/>
            <w:rFonts w:ascii="Calibri" w:hAnsi="Calibri" w:eastAsia="Noto Sans CJK SC"/>
          </w:rPr>
          <w:t>[R030]</w:t>
        </w:r>
      </w:hyperlink>
      <w:r>
        <w:t xml:space="preserve"> · </w:t>
      </w:r>
      <w:hyperlink r:id="rId54">
        <w:r>
          <w:rPr>
            <w:color w:val="17677D"/>
            <w:u w:val="single"/>
            <w:sz w:val="19"/>
            <w:rFonts w:ascii="Calibri" w:hAnsi="Calibri" w:eastAsia="Noto Sans CJK SC"/>
          </w:rPr>
          <w:t>[R068]</w:t>
        </w:r>
      </w:hyperlink>
    </w:p>
    <w:p>
      <w:pPr>
        <w:pStyle w:val="Heading2"/>
      </w:pPr>
      <w:r>
        <w:t>Link-only, preview, purchase и библиотека</w:t>
      </w:r>
    </w:p>
    <w:p>
      <w:r>
        <w:t>Современные Gardner, Chan, Ebrey, Adler и Семененко сохранены как полезные научные входы даже при защищённых правах. Для них положительные теги отражают только подтверждённый доступ: PURCHASE, PREVIEW_ONLY, METADATA_ONLY и внешнюю ссылку. Конкретная полноценная библиотечная выдача либо Controlled Digital Lending в этом запуске не подтверждены; институциональные платформенные пути не выданы за свободную выдачу.</w:t>
      </w:r>
      <w:r>
        <w:t xml:space="preserve"> </w:t>
      </w:r>
      <w:hyperlink r:id="rId81">
        <w:r>
          <w:rPr>
            <w:color w:val="17677D"/>
            <w:u w:val="single"/>
            <w:sz w:val="19"/>
            <w:rFonts w:ascii="Calibri" w:hAnsi="Calibri" w:eastAsia="Noto Sans CJK SC"/>
          </w:rPr>
          <w:t>[R031]</w:t>
        </w:r>
      </w:hyperlink>
      <w:r>
        <w:t xml:space="preserve"> · </w:t>
      </w:r>
      <w:hyperlink r:id="rId79">
        <w:r>
          <w:rPr>
            <w:color w:val="17677D"/>
            <w:u w:val="single"/>
            <w:sz w:val="19"/>
            <w:rFonts w:ascii="Calibri" w:hAnsi="Calibri" w:eastAsia="Noto Sans CJK SC"/>
          </w:rPr>
          <w:t>[R042]</w:t>
        </w:r>
      </w:hyperlink>
      <w:r>
        <w:t xml:space="preserve"> · </w:t>
      </w:r>
      <w:hyperlink r:id="rId80">
        <w:r>
          <w:rPr>
            <w:color w:val="17677D"/>
            <w:u w:val="single"/>
            <w:sz w:val="19"/>
            <w:rFonts w:ascii="Calibri" w:hAnsi="Calibri" w:eastAsia="Noto Sans CJK SC"/>
          </w:rPr>
          <w:t>[R043]</w:t>
        </w:r>
      </w:hyperlink>
      <w:r>
        <w:t xml:space="preserve"> · </w:t>
      </w:r>
      <w:hyperlink r:id="rId82">
        <w:r>
          <w:rPr>
            <w:color w:val="17677D"/>
            <w:u w:val="single"/>
            <w:sz w:val="19"/>
            <w:rFonts w:ascii="Calibri" w:hAnsi="Calibri" w:eastAsia="Noto Sans CJK SC"/>
          </w:rPr>
          <w:t>[R044]</w:t>
        </w:r>
      </w:hyperlink>
      <w:r>
        <w:t xml:space="preserve"> · </w:t>
      </w:r>
      <w:hyperlink r:id="rId60">
        <w:r>
          <w:rPr>
            <w:color w:val="17677D"/>
            <w:u w:val="single"/>
            <w:sz w:val="19"/>
            <w:rFonts w:ascii="Calibri" w:hAnsi="Calibri" w:eastAsia="Noto Sans CJK SC"/>
          </w:rPr>
          <w:t>[R045]</w:t>
        </w:r>
      </w:hyperlink>
      <w:r>
        <w:t xml:space="preserve"> · </w:t>
      </w:r>
      <w:hyperlink r:id="rId77">
        <w:r>
          <w:rPr>
            <w:color w:val="17677D"/>
            <w:u w:val="single"/>
            <w:sz w:val="19"/>
            <w:rFonts w:ascii="Calibri" w:hAnsi="Calibri" w:eastAsia="Noto Sans CJK SC"/>
          </w:rPr>
          <w:t>[R046]</w:t>
        </w:r>
      </w:hyperlink>
      <w:r>
        <w:t xml:space="preserve"> · </w:t>
      </w:r>
      <w:hyperlink r:id="rId76">
        <w:r>
          <w:rPr>
            <w:color w:val="17677D"/>
            <w:u w:val="single"/>
            <w:sz w:val="19"/>
            <w:rFonts w:ascii="Calibri" w:hAnsi="Calibri" w:eastAsia="Noto Sans CJK SC"/>
          </w:rPr>
          <w:t>[R048]</w:t>
        </w:r>
      </w:hyperlink>
      <w:r>
        <w:t xml:space="preserve"> · </w:t>
      </w:r>
      <w:hyperlink r:id="rId75">
        <w:r>
          <w:rPr>
            <w:color w:val="17677D"/>
            <w:u w:val="single"/>
            <w:sz w:val="19"/>
            <w:rFonts w:ascii="Calibri" w:hAnsi="Calibri" w:eastAsia="Noto Sans CJK SC"/>
          </w:rPr>
          <w:t>[R069]</w:t>
        </w:r>
      </w:hyperlink>
    </w:p>
    <w:p>
      <w:r>
        <w:t>Тег RIGHTS_REVIEW_REQUIRED в XLSX блокирует расширительное применение разрешений. Например, FREE_DOWNLOAD в смешанной записи не даёт MIRROR_OK. Материала с проверенным NoDerivatives-разрешением не найдено; тег UNCHANGED_ONLY не назначался искусственно. Все пять недоступных проверке маршрутов CText оставлены без положительных разрешений на содержимое.</w:t>
      </w:r>
      <w:r>
        <w:t xml:space="preserve"> </w:t>
      </w:r>
      <w:hyperlink r:id="rId87">
        <w:r>
          <w:rPr>
            <w:color w:val="17677D"/>
            <w:u w:val="single"/>
            <w:sz w:val="19"/>
            <w:rFonts w:ascii="Calibri" w:hAnsi="Calibri" w:eastAsia="Noto Sans CJK SC"/>
          </w:rPr>
          <w:t>[R077]</w:t>
        </w:r>
      </w:hyperlink>
      <w:r>
        <w:t xml:space="preserve"> · </w:t>
      </w:r>
      <w:hyperlink r:id="rId88">
        <w:r>
          <w:rPr>
            <w:color w:val="17677D"/>
            <w:u w:val="single"/>
            <w:sz w:val="19"/>
            <w:rFonts w:ascii="Calibri" w:hAnsi="Calibri" w:eastAsia="Noto Sans CJK SC"/>
          </w:rPr>
          <w:t>[R078]</w:t>
        </w:r>
      </w:hyperlink>
      <w:r>
        <w:t xml:space="preserve"> · </w:t>
      </w:r>
      <w:hyperlink r:id="rId89">
        <w:r>
          <w:rPr>
            <w:color w:val="17677D"/>
            <w:u w:val="single"/>
            <w:sz w:val="19"/>
            <w:rFonts w:ascii="Calibri" w:hAnsi="Calibri" w:eastAsia="Noto Sans CJK SC"/>
          </w:rPr>
          <w:t>[R079]</w:t>
        </w:r>
      </w:hyperlink>
      <w:r>
        <w:t xml:space="preserve"> · </w:t>
      </w:r>
      <w:hyperlink r:id="rId90">
        <w:r>
          <w:rPr>
            <w:color w:val="17677D"/>
            <w:u w:val="single"/>
            <w:sz w:val="19"/>
            <w:rFonts w:ascii="Calibri" w:hAnsi="Calibri" w:eastAsia="Noto Sans CJK SC"/>
          </w:rPr>
          <w:t>[R080]</w:t>
        </w:r>
      </w:hyperlink>
      <w:r>
        <w:t xml:space="preserve"> · </w:t>
      </w:r>
      <w:hyperlink r:id="rId91">
        <w:r>
          <w:rPr>
            <w:color w:val="17677D"/>
            <w:u w:val="single"/>
            <w:sz w:val="19"/>
            <w:rFonts w:ascii="Calibri" w:hAnsi="Calibri" w:eastAsia="Noto Sans CJK SC"/>
          </w:rPr>
          <w:t>[R081]</w:t>
        </w:r>
      </w:hyperlink>
    </w:p>
    <w:p>
      <w:r>
        <w:br w:type="page"/>
      </w:r>
    </w:p>
    <w:p>
      <w:pPr>
        <w:pStyle w:val="Heading1"/>
      </w:pPr>
      <w:r>
        <w:t>5. Характерные правовые и текстологические тонкости</w:t>
      </w:r>
    </w:p>
    <w:p>
      <w:pPr>
        <w:pStyle w:val="Heading2"/>
        <w:spacing w:before="180"/>
      </w:pPr>
      <w:r>
        <w:t>Оригинал, редакция, цифровая транскрипция — три разных даты</w:t>
      </w:r>
    </w:p>
    <w:p>
      <w:pPr>
        <w:spacing w:line="250" w:lineRule="auto" w:after="100"/>
      </w:pPr>
      <w:r>
        <w:t>Сунское сочинение может быть доступно в поздней цинской редакции WYG, затем в современной цифровой транскрипции. Это не сунский физический экземпляр. SBCK также обозначает конкретную издательскую передачу, а не лицензию на все её компоненты. Для таких строк оговорено, что исторический текст и современный редакторский аппарат не оцениваются одним автоматическим правилом.</w:t>
      </w:r>
      <w:r>
        <w:t xml:space="preserve"> </w:t>
      </w:r>
      <w:hyperlink r:id="rId18">
        <w:r>
          <w:rPr>
            <w:color w:val="17677D"/>
            <w:u w:val="single"/>
            <w:sz w:val="19"/>
            <w:rFonts w:ascii="Calibri" w:hAnsi="Calibri" w:eastAsia="Noto Sans CJK SC"/>
          </w:rPr>
          <w:t>[R001]</w:t>
        </w:r>
      </w:hyperlink>
      <w:r>
        <w:t xml:space="preserve"> · </w:t>
      </w:r>
      <w:hyperlink r:id="rId32">
        <w:r>
          <w:rPr>
            <w:color w:val="17677D"/>
            <w:u w:val="single"/>
            <w:sz w:val="19"/>
            <w:rFonts w:ascii="Calibri" w:hAnsi="Calibri" w:eastAsia="Noto Sans CJK SC"/>
          </w:rPr>
          <w:t>[R010]</w:t>
        </w:r>
      </w:hyperlink>
      <w:r>
        <w:t xml:space="preserve"> · </w:t>
      </w:r>
      <w:hyperlink r:id="rId23">
        <w:r>
          <w:rPr>
            <w:color w:val="17677D"/>
            <w:u w:val="single"/>
            <w:sz w:val="19"/>
            <w:rFonts w:ascii="Calibri" w:hAnsi="Calibri" w:eastAsia="Noto Sans CJK SC"/>
          </w:rPr>
          <w:t>[R015]</w:t>
        </w:r>
      </w:hyperlink>
      <w:r>
        <w:t xml:space="preserve"> · </w:t>
      </w:r>
      <w:hyperlink r:id="rId39">
        <w:r>
          <w:rPr>
            <w:color w:val="17677D"/>
            <w:u w:val="single"/>
            <w:sz w:val="19"/>
            <w:rFonts w:ascii="Calibri" w:hAnsi="Calibri" w:eastAsia="Noto Sans CJK SC"/>
          </w:rPr>
          <w:t>[R039]</w:t>
        </w:r>
      </w:hyperlink>
      <w:r>
        <w:t xml:space="preserve"> · </w:t>
      </w:r>
      <w:hyperlink r:id="rId56">
        <w:r>
          <w:rPr>
            <w:color w:val="17677D"/>
            <w:u w:val="single"/>
            <w:sz w:val="19"/>
            <w:rFonts w:ascii="Calibri" w:hAnsi="Calibri" w:eastAsia="Noto Sans CJK SC"/>
          </w:rPr>
          <w:t>[R057]</w:t>
        </w:r>
      </w:hyperlink>
      <w:r>
        <w:t xml:space="preserve"> · </w:t>
      </w:r>
      <w:hyperlink r:id="rId46">
        <w:r>
          <w:rPr>
            <w:color w:val="17677D"/>
            <w:u w:val="single"/>
            <w:sz w:val="19"/>
            <w:rFonts w:ascii="Calibri" w:hAnsi="Calibri" w:eastAsia="Noto Sans CJK SC"/>
          </w:rPr>
          <w:t>[R064]</w:t>
        </w:r>
      </w:hyperlink>
    </w:p>
    <w:p>
      <w:pPr>
        <w:spacing w:line="250" w:lineRule="auto" w:after="100"/>
      </w:pPr>
      <w:r>
        <w:t>Современный защищённый перевод не становится общественным достоянием вместе с древним оригиналом. Свободный китайский текст может быть основой собственного перевода, тогда как красивый современный английский или русский перевод — лишь инструмент чтения. В реестре это отражено одновременно в version_or_edition_rights и own_translation_basis; одна ячейка не заменяет другую.</w:t>
      </w:r>
      <w:r>
        <w:t xml:space="preserve"> </w:t>
      </w:r>
      <w:hyperlink r:id="rId50">
        <w:r>
          <w:rPr>
            <w:color w:val="17677D"/>
            <w:u w:val="single"/>
            <w:sz w:val="19"/>
            <w:rFonts w:ascii="Calibri" w:hAnsi="Calibri" w:eastAsia="Noto Sans CJK SC"/>
          </w:rPr>
          <w:t>[R028]</w:t>
        </w:r>
      </w:hyperlink>
      <w:r>
        <w:t xml:space="preserve"> · </w:t>
      </w:r>
      <w:hyperlink r:id="rId81">
        <w:r>
          <w:rPr>
            <w:color w:val="17677D"/>
            <w:u w:val="single"/>
            <w:sz w:val="19"/>
            <w:rFonts w:ascii="Calibri" w:hAnsi="Calibri" w:eastAsia="Noto Sans CJK SC"/>
          </w:rPr>
          <w:t>[R031]</w:t>
        </w:r>
      </w:hyperlink>
      <w:r>
        <w:t xml:space="preserve"> · </w:t>
      </w:r>
      <w:hyperlink r:id="rId77">
        <w:r>
          <w:rPr>
            <w:color w:val="17677D"/>
            <w:u w:val="single"/>
            <w:sz w:val="19"/>
            <w:rFonts w:ascii="Calibri" w:hAnsi="Calibri" w:eastAsia="Noto Sans CJK SC"/>
          </w:rPr>
          <w:t>[R046]</w:t>
        </w:r>
      </w:hyperlink>
      <w:r>
        <w:t xml:space="preserve"> · </w:t>
      </w:r>
      <w:hyperlink r:id="rId76">
        <w:r>
          <w:rPr>
            <w:color w:val="17677D"/>
            <w:u w:val="single"/>
            <w:sz w:val="19"/>
            <w:rFonts w:ascii="Calibri" w:hAnsi="Calibri" w:eastAsia="Noto Sans CJK SC"/>
          </w:rPr>
          <w:t>[R048]</w:t>
        </w:r>
      </w:hyperlink>
    </w:p>
    <w:p>
      <w:pPr>
        <w:pStyle w:val="Heading2"/>
        <w:spacing w:before="180"/>
      </w:pPr>
      <w:r>
        <w:t>Полнота — не одно бинарное свойство</w:t>
      </w:r>
    </w:p>
    <w:p>
      <w:pPr>
        <w:spacing w:line="250" w:lineRule="auto" w:after="100"/>
      </w:pPr>
      <w:r>
        <w:t>У 朱子語類 полнота пакета определяется перечнем 140 цзюаней, но перевод Gardner покрывает только избранные разделы. У Jinsilu одна строка может представлять китайский текст, другая — комментированную версию, третья — перевод, четвёртая — две страницы свидетеля. Наличие PDF целиком в последнем случае всё равно означает fragment, а не полный Jinsilu.</w:t>
      </w:r>
      <w:r>
        <w:t xml:space="preserve"> </w:t>
      </w:r>
      <w:hyperlink r:id="rId49">
        <w:r>
          <w:rPr>
            <w:color w:val="17677D"/>
            <w:u w:val="single"/>
            <w:sz w:val="19"/>
            <w:rFonts w:ascii="Calibri" w:hAnsi="Calibri" w:eastAsia="Noto Sans CJK SC"/>
          </w:rPr>
          <w:t>[R006]</w:t>
        </w:r>
      </w:hyperlink>
      <w:r>
        <w:t xml:space="preserve"> · </w:t>
      </w:r>
      <w:hyperlink r:id="rId19">
        <w:r>
          <w:rPr>
            <w:color w:val="17677D"/>
            <w:u w:val="single"/>
            <w:sz w:val="19"/>
            <w:rFonts w:ascii="Calibri" w:hAnsi="Calibri" w:eastAsia="Noto Sans CJK SC"/>
          </w:rPr>
          <w:t>[R008]</w:t>
        </w:r>
      </w:hyperlink>
      <w:r>
        <w:t xml:space="preserve"> · </w:t>
      </w:r>
      <w:hyperlink r:id="rId78">
        <w:r>
          <w:rPr>
            <w:color w:val="17677D"/>
            <w:u w:val="single"/>
            <w:sz w:val="19"/>
            <w:rFonts w:ascii="Calibri" w:hAnsi="Calibri" w:eastAsia="Noto Sans CJK SC"/>
          </w:rPr>
          <w:t>[R029]</w:t>
        </w:r>
      </w:hyperlink>
      <w:r>
        <w:t xml:space="preserve"> · </w:t>
      </w:r>
      <w:hyperlink r:id="rId79">
        <w:r>
          <w:rPr>
            <w:color w:val="17677D"/>
            <w:u w:val="single"/>
            <w:sz w:val="19"/>
            <w:rFonts w:ascii="Calibri" w:hAnsi="Calibri" w:eastAsia="Noto Sans CJK SC"/>
          </w:rPr>
          <w:t>[R042]</w:t>
        </w:r>
      </w:hyperlink>
      <w:r>
        <w:t xml:space="preserve"> · </w:t>
      </w:r>
      <w:hyperlink r:id="rId76">
        <w:r>
          <w:rPr>
            <w:color w:val="17677D"/>
            <w:u w:val="single"/>
            <w:sz w:val="19"/>
            <w:rFonts w:ascii="Calibri" w:hAnsi="Calibri" w:eastAsia="Noto Sans CJK SC"/>
          </w:rPr>
          <w:t>[R048]</w:t>
        </w:r>
      </w:hyperlink>
      <w:r>
        <w:t xml:space="preserve"> · </w:t>
      </w:r>
      <w:hyperlink r:id="rId69">
        <w:r>
          <w:rPr>
            <w:color w:val="17677D"/>
            <w:u w:val="single"/>
            <w:sz w:val="19"/>
            <w:rFonts w:ascii="Calibri" w:hAnsi="Calibri" w:eastAsia="Noto Sans CJK SC"/>
          </w:rPr>
          <w:t>[R070]</w:t>
        </w:r>
      </w:hyperlink>
    </w:p>
    <w:p>
      <w:pPr>
        <w:spacing w:line="250" w:lineRule="auto" w:after="100"/>
      </w:pPr>
      <w:r>
        <w:t>Собрание 龍川集 в проверенной передаче включает 30 сохранившихся цзюаней при библиографическом сообщении о более крупном первоначальном составе. Отметка complete_work_or_corpus относится к этой переданной редакции, а не к восстановлению утраченного. В 詩經集傳 восемь цзюаней вместо двадцати объяснены в вводной библиографии объединением разделов; механическое отношение 8/20 было бы ложной оценкой полноты.</w:t>
      </w:r>
      <w:r>
        <w:t xml:space="preserve"> </w:t>
      </w:r>
      <w:hyperlink r:id="rId44">
        <w:r>
          <w:rPr>
            <w:color w:val="17677D"/>
            <w:u w:val="single"/>
            <w:sz w:val="19"/>
            <w:rFonts w:ascii="Calibri" w:hAnsi="Calibri" w:eastAsia="Noto Sans CJK SC"/>
          </w:rPr>
          <w:t>[R062]</w:t>
        </w:r>
      </w:hyperlink>
      <w:r>
        <w:t xml:space="preserve"> · </w:t>
      </w:r>
      <w:hyperlink r:id="rId30">
        <w:r>
          <w:rPr>
            <w:color w:val="17677D"/>
            <w:u w:val="single"/>
            <w:sz w:val="19"/>
            <w:rFonts w:ascii="Calibri" w:hAnsi="Calibri" w:eastAsia="Noto Sans CJK SC"/>
          </w:rPr>
          <w:t>[R071]</w:t>
        </w:r>
      </w:hyperlink>
    </w:p>
    <w:p>
      <w:pPr>
        <w:spacing w:line="250" w:lineRule="auto" w:after="100"/>
      </w:pPr>
      <w:r>
        <w:t>Трёхчастный Chuanxilu на Wikisource действительно читается, но расхождение с четырёхцзюаневой библиографической подсказкой исходного DR не устранено догадкой. До публикации нового перевода нужна определённая историческая редакция. Частичный Yangming jiyao не используется как запасной «полный Wang».</w:t>
      </w:r>
      <w:r>
        <w:t xml:space="preserve"> </w:t>
      </w:r>
      <w:hyperlink r:id="rId59">
        <w:r>
          <w:rPr>
            <w:color w:val="17677D"/>
            <w:u w:val="single"/>
            <w:sz w:val="19"/>
            <w:rFonts w:ascii="Calibri" w:hAnsi="Calibri" w:eastAsia="Noto Sans CJK SC"/>
          </w:rPr>
          <w:t>[R041]</w:t>
        </w:r>
      </w:hyperlink>
      <w:r>
        <w:t xml:space="preserve"> · </w:t>
      </w:r>
      <w:hyperlink r:id="rId63">
        <w:r>
          <w:rPr>
            <w:color w:val="17677D"/>
            <w:u w:val="single"/>
            <w:sz w:val="19"/>
            <w:rFonts w:ascii="Calibri" w:hAnsi="Calibri" w:eastAsia="Noto Sans CJK SC"/>
          </w:rPr>
          <w:t>[R065]</w:t>
        </w:r>
      </w:hyperlink>
    </w:p>
    <w:p>
      <w:pPr>
        <w:pStyle w:val="Heading2"/>
        <w:spacing w:before="180"/>
      </w:pPr>
      <w:r>
        <w:t>Качество метаданных и техническая пригодность</w:t>
      </w:r>
    </w:p>
    <w:p>
      <w:pPr>
        <w:spacing w:line="250" w:lineRule="auto" w:after="100"/>
      </w:pPr>
      <w:r>
        <w:t>Содержание проверялось по реальному объекту, а не только автоматической аннотации: PG 3100 оказался пролегоменами, не полным переводом названных классиков. Его не включили как полноценный первичный путь. В цифровом Zhuzi dushu fa редкий знак в имени составителя передан gaiji-кодом; недостающее чтение не выдумано. Такое место влияет на поиск и атрибуцию даже при открытой лицензии.</w:t>
      </w:r>
      <w:r>
        <w:t xml:space="preserve"> </w:t>
      </w:r>
      <w:hyperlink r:id="rId31">
        <w:r>
          <w:rPr>
            <w:color w:val="17677D"/>
            <w:u w:val="single"/>
            <w:sz w:val="19"/>
            <w:rFonts w:ascii="Calibri" w:hAnsi="Calibri" w:eastAsia="Noto Sans CJK SC"/>
          </w:rPr>
          <w:t>[R074]</w:t>
        </w:r>
      </w:hyperlink>
    </w:p>
    <w:p>
      <w:pPr>
        <w:spacing w:line="250" w:lineRule="auto" w:after="100"/>
      </w:pPr>
      <w:r>
        <w:t>Для предметов нужно сохранять shelfmark, том, лист и источник изображения. Заявленная в Commons дата корейской печати не перенесена в основной реестр, поскольку институциональное подтверждение не было получено. У NPM установлена лицензия самого объекта; у LoC открытый файл не сопровождается проверенным rights statement. Поэтому одинаковое техническое действие «скачать PDF» приводит к разным рекомендациям.</w:t>
      </w:r>
      <w:r>
        <w:t xml:space="preserve"> </w:t>
      </w:r>
      <w:hyperlink r:id="rId68">
        <w:r>
          <w:rPr>
            <w:color w:val="17677D"/>
            <w:u w:val="single"/>
            <w:sz w:val="19"/>
            <w:rFonts w:ascii="Calibri" w:hAnsi="Calibri" w:eastAsia="Noto Sans CJK SC"/>
          </w:rPr>
          <w:t>[R066]</w:t>
        </w:r>
      </w:hyperlink>
      <w:r>
        <w:t xml:space="preserve"> · </w:t>
      </w:r>
      <w:hyperlink r:id="rId68">
        <w:r>
          <w:rPr>
            <w:color w:val="17677D"/>
            <w:u w:val="single"/>
            <w:sz w:val="19"/>
            <w:rFonts w:ascii="Calibri" w:hAnsi="Calibri" w:eastAsia="Noto Sans CJK SC"/>
          </w:rPr>
          <w:t>[R067]</w:t>
        </w:r>
      </w:hyperlink>
      <w:r>
        <w:t xml:space="preserve"> · </w:t>
      </w:r>
      <w:hyperlink r:id="rId69">
        <w:r>
          <w:rPr>
            <w:color w:val="17677D"/>
            <w:u w:val="single"/>
            <w:sz w:val="19"/>
            <w:rFonts w:ascii="Calibri" w:hAnsi="Calibri" w:eastAsia="Noto Sans CJK SC"/>
          </w:rPr>
          <w:t>[R070]</w:t>
        </w:r>
      </w:hyperlink>
    </w:p>
    <w:p>
      <w:pPr>
        <w:spacing w:line="250" w:lineRule="auto" w:after="100"/>
      </w:pPr>
      <w:r>
        <w:t>Наконец, ошибки web-fetch не доказывают недоступность произведения для человека. В реестре отдельно указаны открытая карточка, неоткрывшийся Handle, предложенная загрузка после CAPTCHA, непрочитанный большой архив и успешное открытие отдельного PDF. Ни в одном из этих случаев технический результат не выдан за подтверждение большего доступа.</w:t>
      </w:r>
      <w:r>
        <w:t xml:space="preserve"> </w:t>
      </w:r>
      <w:hyperlink r:id="rId25">
        <w:r>
          <w:rPr>
            <w:color w:val="17677D"/>
            <w:u w:val="single"/>
            <w:sz w:val="19"/>
            <w:rFonts w:ascii="Calibri" w:hAnsi="Calibri" w:eastAsia="Noto Sans CJK SC"/>
          </w:rPr>
          <w:t>[R024]</w:t>
        </w:r>
      </w:hyperlink>
      <w:r>
        <w:t xml:space="preserve"> · </w:t>
      </w:r>
      <w:hyperlink r:id="rId58">
        <w:r>
          <w:rPr>
            <w:color w:val="17677D"/>
            <w:u w:val="single"/>
            <w:sz w:val="19"/>
            <w:rFonts w:ascii="Calibri" w:hAnsi="Calibri" w:eastAsia="Noto Sans CJK SC"/>
          </w:rPr>
          <w:t>[R030]</w:t>
        </w:r>
      </w:hyperlink>
      <w:r>
        <w:t xml:space="preserve"> · </w:t>
      </w:r>
      <w:hyperlink r:id="rId85">
        <w:r>
          <w:rPr>
            <w:color w:val="17677D"/>
            <w:u w:val="single"/>
            <w:sz w:val="19"/>
            <w:rFonts w:ascii="Calibri" w:hAnsi="Calibri" w:eastAsia="Noto Sans CJK SC"/>
          </w:rPr>
          <w:t>[R032]</w:t>
        </w:r>
      </w:hyperlink>
      <w:r>
        <w:t xml:space="preserve"> · </w:t>
      </w:r>
      <w:hyperlink r:id="rId60">
        <w:r>
          <w:rPr>
            <w:color w:val="17677D"/>
            <w:u w:val="single"/>
            <w:sz w:val="19"/>
            <w:rFonts w:ascii="Calibri" w:hAnsi="Calibri" w:eastAsia="Noto Sans CJK SC"/>
          </w:rPr>
          <w:t>[R045]</w:t>
        </w:r>
      </w:hyperlink>
      <w:r>
        <w:t xml:space="preserve"> · </w:t>
      </w:r>
      <w:hyperlink r:id="rId68">
        <w:r>
          <w:rPr>
            <w:color w:val="17677D"/>
            <w:u w:val="single"/>
            <w:sz w:val="19"/>
            <w:rFonts w:ascii="Calibri" w:hAnsi="Calibri" w:eastAsia="Noto Sans CJK SC"/>
          </w:rPr>
          <w:t>[R066]</w:t>
        </w:r>
      </w:hyperlink>
      <w:r>
        <w:t xml:space="preserve"> · </w:t>
      </w:r>
      <w:hyperlink r:id="rId75">
        <w:r>
          <w:rPr>
            <w:color w:val="17677D"/>
            <w:u w:val="single"/>
            <w:sz w:val="19"/>
            <w:rFonts w:ascii="Calibri" w:hAnsi="Calibri" w:eastAsia="Noto Sans CJK SC"/>
          </w:rPr>
          <w:t>[R069]</w:t>
        </w:r>
      </w:hyperlink>
      <w:r>
        <w:t xml:space="preserve"> · </w:t>
      </w:r>
      <w:hyperlink r:id="rId69">
        <w:r>
          <w:rPr>
            <w:color w:val="17677D"/>
            <w:u w:val="single"/>
            <w:sz w:val="19"/>
            <w:rFonts w:ascii="Calibri" w:hAnsi="Calibri" w:eastAsia="Noto Sans CJK SC"/>
          </w:rPr>
          <w:t>[R070]</w:t>
        </w:r>
      </w:hyperlink>
    </w:p>
    <w:p>
      <w:pPr>
        <w:spacing w:line="250" w:lineRule="auto" w:after="100"/>
      </w:pPr>
      <w:r>
        <w:br w:type="page"/>
      </w:r>
    </w:p>
    <w:p>
      <w:pPr>
        <w:pStyle w:val="Heading1"/>
      </w:pPr>
      <w:r>
        <w:t>6. Пробелы и дальнейший поиск</w:t>
      </w:r>
    </w:p>
    <w:p>
      <w:r>
        <w:t>Лист gaps содержит 26 конкретных групп, включая частично закрытые задачи, неустановленные издания и кандидатов без достаточной проверки. Это не перечень отсутствующих произведений. Поисковое расширение не исчерпало всю традицию; наиболее заметны недостаток проверенных физических свидетелей, неравномерность современных переводов и отсутствие систематического поиска всех поздних комментариев.</w:t>
      </w:r>
    </w:p>
    <w:p>
      <w:pPr>
        <w:pStyle w:val="Heading2"/>
      </w:pPr>
      <w:r>
        <w:t>Что осталось без полного проверенного цифрового входа</w:t>
      </w:r>
    </w:p>
    <w:p>
      <w:r>
        <w:t>В первую очередь — 儀禮經傳通解 с продолжением, исходный 資治通鑑綱目, 皇極經世, ранняя отдельная редакция 小學 и точное местоположение 白鹿洞書院揭示. Jiali, большой Wenji или поздняя императорская компиляция частично помогают, но не объявлены заменой этих объектов. Для прямой поздней передачи остаются 宋元學案, комментарий Wang Fuzhi к Zhengmeng и 心經附註.</w:t>
      </w:r>
    </w:p>
    <w:p>
      <w:r>
        <w:t>В переводах остаются полный современный Zhou/Tongshu, больше Lu Jiuyuan, самостоятельный корпус братьев Cheng, русский Zhu/Wang, перевод Beixi ziyi и старый Bruce. Подтверждённый немецкий Zhengmeng пока представлен каталогом. Современные китайские критические издания требуют отдельных официальных карточек: нельзя выдавать удобную историческую транскрипцию за их полноценную научную замену.</w:t>
      </w:r>
    </w:p>
    <w:p>
      <w:pPr>
        <w:pStyle w:val="Heading2"/>
      </w:pPr>
      <w:r>
        <w:t>Что не открылось или требует отдельного разрешения</w:t>
      </w:r>
    </w:p>
    <w:p>
      <w:r>
        <w:t>Повторные ошибки затронули CText и его API/FAQ, основную карточку LoC, некоторые PDF, книжные издательские маршруты, лицензионный Handle ACLS и часть национальных каталожных интерфейсов. Для современных книг сохранены подтверждённые покупка, preview или библиотечная карточка; где даже этого недостаточно, кандидат оставлен только в gaps. Крупный CBDB release не скачивался полностью, музейная CAPTCHA не проходилась.</w:t>
      </w:r>
    </w:p>
    <w:p>
      <w:r>
        <w:t>Кандидаты испанских переводов Zhengmeng, Ximing и Dongming не получили достоверной item-level проверки текста и лицензии. Для корейского Jinsilu с заявленной датой 1519 требуется институциональная запись или колофон. Для 聖學十圖 требуется подтверждение конкретного состава и текстовых заимствований. Эти случаи не использованы как доказанный открытый слой.</w:t>
      </w:r>
    </w:p>
    <w:p>
      <w:pPr>
        <w:pStyle w:val="Heading2"/>
      </w:pPr>
      <w:r>
        <w:t>Семь прицельных следующих проходов</w:t>
      </w:r>
    </w:p>
    <w:p>
      <w:r>
        <w:t>1. Установить печатную основу Chuanxilu и сопоставить три части Wikisource с историческим факсимиле; отдельно закрыть Wang Wencheng gong quanshu. Это важнее дальнейшего накопления неидентифицированных веб-транскрипций.</w:t>
      </w:r>
    </w:p>
    <w:p>
      <w:r>
        <w:t>2. Закрыть ритуально-историческое крыло Чжу Си: Yili jingzhuan tongjie, продолжения, Gangmu и правила Белого Оленя. Отбирать конкретные цзюани, экземпляры и редакторов, не общие порталы.</w:t>
      </w:r>
    </w:p>
    <w:p>
      <w:r>
        <w:t>3. Для современной текстологии найти официальные ISBN/издательские или библиотечные записи Zhonghua Shuju и других научных изданий; связать их с уже доступными WYG/SBCK текстами, не перенося права.</w:t>
      </w:r>
    </w:p>
    <w:p>
      <w:r>
        <w:t>4. По комментарийной передаче — Song-Yuan xuean, Wang Fuzhi Zhengmeng zhu и Xinjing fuzhu. Основание включения должно быть определённым первичным текстом или комментаторской линией, не просто поздней датой.</w:t>
      </w:r>
    </w:p>
    <w:p>
      <w:r>
        <w:t>5. По переводам — полный Zhou, Lu и Cheng, русский Zhu/Wang, испанские Zhang Zai и старый Bruce. Сначала проверять полноту и переводчика, затем доступ, затем лицензию; журнальное OA не объявлять общим разрешением без уведомления.</w:t>
      </w:r>
    </w:p>
    <w:p>
      <w:r>
        <w:t>6. По свидетелям — полный LoC/Korean Jinsilu и ограниченная выборка японских/вьетнамских Four Books, Jiali, Jinsilu. Проверять выходные данные и изображения по отдельности; не расширять этот проход до всей региональной философии.</w:t>
      </w:r>
    </w:p>
    <w:p>
      <w:r>
        <w:t>7. По правам и машинной обработке — вручную открыть CText API/условия, проверить происхождение важных транскрипций Kanripo и gaiji, а затем тестировать небольшие лицензированные загрузки. Открытый код инструмента не считать лицензией на его входной dataset.</w:t>
      </w:r>
    </w:p>
    <w:p>
      <w:r>
        <w:t>Для буддийско-даосского входа действует отдельный фильтр: сначала буквальные цитаты, именованные тексты и доказанные полемические цели, затем новый маршрут доступа. DR подтверждает значимость интеллектуального вызова, но не даёт основания присоединить весь соседний канон.</w:t>
      </w:r>
    </w:p>
    <w:p>
      <w:r>
        <w:br w:type="page"/>
      </w:r>
    </w:p>
    <w:p>
      <w:pPr>
        <w:pStyle w:val="Heading1"/>
      </w:pPr>
      <w:r>
        <w:t>7. Итоговая оценка</w:t>
      </w:r>
    </w:p>
    <w:p>
      <w:r>
        <w:t>Корпус покрыт широко, но не исчерпывающе. Все главные авторские опоры исходного DR получили работающий китайский вход, а основные названные тексты — маршрут непосредственно или внутри идентифицированного собрания. Пробелы сохраняются в отдельных ритуальных и исторических проектах, физических свидетелях, поздних комментариях и современных переводах. Они не скрыты за общими ссылками и не объявлены «соседними» только из-за даты.</w:t>
      </w:r>
    </w:p>
    <w:p>
      <w:r>
        <w:t>Оригиналы доступны значительно лучше, чем переводы: основной практический ресурс — 51 китайский текстовый пакет Kanripo с проверенным перечнем файлов и проектным лицензионным заявлением. Это хорошая основа для локального поиска, сопоставления и выборочного собственного перевода после контроля редакции. Она не равна полной критической колляции и не заменяет оригинальный материальный свидетель.</w:t>
      </w:r>
    </w:p>
    <w:p>
      <w:r>
        <w:t>Переводной слой неоднороден: есть полезные авторские бесплатные публикации, современные защищённые научные книги, старые английские издания и сильная русская находка — Мэнцзы с двумя полными комментариями. Бесплатный просмотр не превращён в право повторного размещения; каталожная запись не названа прочитанной книгой.</w:t>
      </w:r>
    </w:p>
    <w:p>
      <w:r>
        <w:t>Самый масштабный повторно используемый текстовый слой — Kanripo CC BY-SA 4.0. Самое прямое item-level доказательство для изображения и транскрипции — NPM, но оно охватывает лишь одно позднее предисловие. Полезный некоммерческий слой — CBDB CC BY-NC-SA 4.0, исключительно в границах самой базы. Главные ограничения сосредоточены в современных переводах, неидентифицированных редакциях и фотографиях без проверенного rights statement.</w:t>
      </w:r>
    </w:p>
    <w:p>
      <w:r>
        <w:t>Пакет пригоден для передачи Codex как исследовательский реестр: ссылки, версии, охват, ограничения и чистые основы перевода разделены по полям. Он не является разрешением на автоматическое массовое зеркалирование. Начальная реализация ToS может строить внешние карточки и навигацию по всему реестру; загрузку, OCR, публичный индекс, embeddings и переводы следует включать отдельно, только по явно указанным rights_scope и coverage.</w:t>
      </w:r>
    </w:p>
    <w:p>
      <w:pPr>
        <w:pStyle w:val="Heading2"/>
      </w:pPr>
      <w:r>
        <w:t>Опорные доказательства прав и доступа</w:t>
      </w:r>
    </w:p>
    <w:p>
      <w:r>
        <w:t>Ниже — ключевые общие документы. Все item-level ссылки и ограничения конкретных объектов находятся в XLSX; ссылки [R…] в тексте отчёта ведут к соответствующим страницам.</w:t>
      </w:r>
    </w:p>
    <w:p>
      <w:pPr>
        <w:pStyle w:val="Caption"/>
      </w:pPr>
      <w:hyperlink r:id="rId92">
        <w:r>
          <w:rPr>
            <w:color w:val="17677D"/>
            <w:u w:val="single"/>
            <w:sz w:val="19"/>
            <w:rFonts w:ascii="Calibri" w:hAnsi="Calibri" w:eastAsia="Noto Sans CJK SC"/>
          </w:rPr>
          <w:t>Kanripo: официальное проектное заявление о CC BY-SA 4.0</w:t>
        </w:r>
      </w:hyperlink>
    </w:p>
    <w:p>
      <w:pPr>
        <w:pStyle w:val="Caption"/>
      </w:pPr>
      <w:hyperlink r:id="rId84">
        <w:r>
          <w:rPr>
            <w:color w:val="17677D"/>
            <w:u w:val="single"/>
            <w:sz w:val="19"/>
            <w:rFonts w:ascii="Calibri" w:hAnsi="Calibri" w:eastAsia="Noto Sans CJK SC"/>
          </w:rPr>
          <w:t>Creative Commons BY-SA 4.0: условия атрибуции и ShareAlike</w:t>
        </w:r>
      </w:hyperlink>
    </w:p>
    <w:p>
      <w:pPr>
        <w:pStyle w:val="Caption"/>
      </w:pPr>
      <w:hyperlink r:id="rId93">
        <w:r>
          <w:rPr>
            <w:color w:val="17677D"/>
            <w:u w:val="single"/>
            <w:sz w:val="19"/>
            <w:rFonts w:ascii="Calibri" w:hAnsi="Calibri" w:eastAsia="Noto Sans CJK SC"/>
          </w:rPr>
          <w:t>CBDB: официальное разъяснение лицензирования</w:t>
        </w:r>
      </w:hyperlink>
    </w:p>
    <w:p>
      <w:pPr>
        <w:pStyle w:val="Caption"/>
      </w:pPr>
      <w:hyperlink r:id="rId85">
        <w:r>
          <w:rPr>
            <w:color w:val="17677D"/>
            <w:u w:val="single"/>
            <w:sz w:val="19"/>
            <w:rFonts w:ascii="Calibri" w:hAnsi="Calibri" w:eastAsia="Noto Sans CJK SC"/>
          </w:rPr>
          <w:t>CBDB SQLite: официальный dataset и лицензия релиза</w:t>
        </w:r>
      </w:hyperlink>
    </w:p>
    <w:p>
      <w:pPr>
        <w:pStyle w:val="Caption"/>
      </w:pPr>
      <w:hyperlink r:id="rId68">
        <w:r>
          <w:rPr>
            <w:color w:val="17677D"/>
            <w:u w:val="single"/>
            <w:sz w:val="19"/>
            <w:rFonts w:ascii="Calibri" w:hAnsi="Calibri" w:eastAsia="Noto Sans CJK SC"/>
          </w:rPr>
          <w:t>National Palace Museum: объект 22754, права на изображения и текст</w:t>
        </w:r>
      </w:hyperlink>
    </w:p>
    <w:p>
      <w:pPr>
        <w:pStyle w:val="Caption"/>
      </w:pPr>
      <w:hyperlink r:id="rId94">
        <w:r>
          <w:rPr>
            <w:color w:val="17677D"/>
            <w:u w:val="single"/>
            <w:sz w:val="19"/>
            <w:rFonts w:ascii="Calibri" w:hAnsi="Calibri" w:eastAsia="Noto Sans CJK SC"/>
          </w:rPr>
          <w:t>UC Press: Rights and Permissions</w:t>
        </w:r>
      </w:hyperlink>
    </w:p>
    <w:p>
      <w:pPr>
        <w:pStyle w:val="Caption"/>
      </w:pPr>
      <w:r>
        <w:t>Исходный DR: разделы 1–3 (паспорт), 6–8 (корпуса, авторы, жанры), 12–13 (входящие и исходящие связи), 16 (первичные источники). Его утверждения о текущих объёмах цифровых проектов и AI-переводах не повторены без независимой проверки.</w:t>
      </w:r>
    </w:p>
    <w:p>
      <w:pPr>
        <w:pStyle w:val="Caption"/>
      </w:pPr>
      <w:r>
        <w:t>Сопроводительный файл: ToS_Corpus_Rights_T2-46_registry.xlsx · листы registry и gaps. Исследовательская дата всех записей: 2026-09-05.</w:t>
      </w:r>
    </w:p>
    <w:sectPr w:rsidR="00FC693F" w:rsidRPr="0006063C" w:rsidSect="00034616">
      <w:headerReference w:type="default" r:id="rId9"/>
      <w:footerReference w:type="default" r:id="rId10"/>
      <w:pgSz w:w="11906" w:h="16838"/>
      <w:pgMar w:top="1077" w:right="1162" w:bottom="1077"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T2-46  •  Проверка 05.09.2026</w:t>
    </w:r>
    <w:r>
      <w:rPr>
        <w:sz w:val="16"/>
      </w:rPr>
      <w:t xml:space="preserve">        Исследовательский пакет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716F"/>
        <w:sz w:val="16"/>
      </w:rPr>
      <w:t>ДРЕВО СОФИИ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eastAsia="Noto Sans CJK SC"/>
      <w:b/>
      <w:bCs/>
      <w:color w:val="193F45"/>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Noto Sans CJK SC"/>
      <w:b/>
      <w:bCs/>
      <w:color w:val="193F45"/>
      <w:sz w:val="25"/>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eastAsia="Noto Sans CJK SC"/>
      <w:b/>
      <w:bCs/>
      <w:color w:val="6B56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Noto Sans CJK SC"/>
      <w:color w:val="193F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eastAsia="Noto Sans CJK SC"/>
      <w:i/>
      <w:iCs/>
      <w:color w:val="5B71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Calibri" w:hAnsi="Calibri" w:eastAsia="Noto Sans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b/>
      <w:bCs/>
      <w:color w:val="5B71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anripo/KR3a0026" TargetMode="External"/><Relationship Id="rId12" Type="http://schemas.openxmlformats.org/officeDocument/2006/relationships/hyperlink" Target="https://github.com/kanripo/KR3a0030" TargetMode="External"/><Relationship Id="rId13" Type="http://schemas.openxmlformats.org/officeDocument/2006/relationships/hyperlink" Target="https://github.com/kanripo/KR3a0031" TargetMode="External"/><Relationship Id="rId14" Type="http://schemas.openxmlformats.org/officeDocument/2006/relationships/hyperlink" Target="https://github.com/kanripo/KR3a0032" TargetMode="External"/><Relationship Id="rId15" Type="http://schemas.openxmlformats.org/officeDocument/2006/relationships/hyperlink" Target="https://github.com/kanripo/KR4d0065" TargetMode="External"/><Relationship Id="rId16" Type="http://schemas.openxmlformats.org/officeDocument/2006/relationships/hyperlink" Target="https://github.com/kanripo/KR5i0080" TargetMode="External"/><Relationship Id="rId17" Type="http://schemas.openxmlformats.org/officeDocument/2006/relationships/hyperlink" Target="https://github.com/kanripo/KR1a0016" TargetMode="External"/><Relationship Id="rId18" Type="http://schemas.openxmlformats.org/officeDocument/2006/relationships/hyperlink" Target="https://github.com/kanripo/KR1h0015" TargetMode="External"/><Relationship Id="rId19" Type="http://schemas.openxmlformats.org/officeDocument/2006/relationships/hyperlink" Target="https://github.com/kanripo/KR3a0047" TargetMode="External"/><Relationship Id="rId20" Type="http://schemas.openxmlformats.org/officeDocument/2006/relationships/hyperlink" Target="https://github.com/kanripo/KR1h0016" TargetMode="External"/><Relationship Id="rId21" Type="http://schemas.openxmlformats.org/officeDocument/2006/relationships/hyperlink" Target="https://github.com/kanripo/KR1h0017" TargetMode="External"/><Relationship Id="rId22" Type="http://schemas.openxmlformats.org/officeDocument/2006/relationships/hyperlink" Target="https://github.com/kanripo/KR1a0031" TargetMode="External"/><Relationship Id="rId23" Type="http://schemas.openxmlformats.org/officeDocument/2006/relationships/hyperlink" Target="https://github.com/kanripo/KR4d0226" TargetMode="External"/><Relationship Id="rId24" Type="http://schemas.openxmlformats.org/officeDocument/2006/relationships/hyperlink" Target="https://github.com/kanripo/KR1d0089" TargetMode="External"/><Relationship Id="rId25" Type="http://schemas.openxmlformats.org/officeDocument/2006/relationships/hyperlink" Target="https://www2.kenyon.edu/Depts/Religion/Fac/Adler/Writings/Qimeng-3.pdf" TargetMode="External"/><Relationship Id="rId26" Type="http://schemas.openxmlformats.org/officeDocument/2006/relationships/hyperlink" Target="https://www2.kenyon.edu/Depts/Religion/Fac/Adler/Writings/Zhu%20-%20Silence%20and%20Stimulation.pdf" TargetMode="External"/><Relationship Id="rId27" Type="http://schemas.openxmlformats.org/officeDocument/2006/relationships/hyperlink" Target="https://www2.kenyon.edu/Depts/Religion/Fac/Adler/Writings/Zhu%20-%20Four%20Virtues.pdf" TargetMode="External"/><Relationship Id="rId28" Type="http://schemas.openxmlformats.org/officeDocument/2006/relationships/hyperlink" Target="https://github.com/kanripo/KR3a0041" TargetMode="External"/><Relationship Id="rId29" Type="http://schemas.openxmlformats.org/officeDocument/2006/relationships/hyperlink" Target="https://github.com/kanripo/KR3a0045" TargetMode="External"/><Relationship Id="rId30" Type="http://schemas.openxmlformats.org/officeDocument/2006/relationships/hyperlink" Target="https://github.com/kanripo/KR1c0015" TargetMode="External"/><Relationship Id="rId31" Type="http://schemas.openxmlformats.org/officeDocument/2006/relationships/hyperlink" Target="https://github.com/kanripo/KR3a0070" TargetMode="External"/><Relationship Id="rId32" Type="http://schemas.openxmlformats.org/officeDocument/2006/relationships/hyperlink" Target="https://github.com/kanripo/KR4d0253" TargetMode="External"/><Relationship Id="rId33" Type="http://schemas.openxmlformats.org/officeDocument/2006/relationships/hyperlink" Target="https://github.com/kanripo/KR4d0453" TargetMode="External"/><Relationship Id="rId34" Type="http://schemas.openxmlformats.org/officeDocument/2006/relationships/hyperlink" Target="https://github.com/kanripo/KR4d0446" TargetMode="External"/><Relationship Id="rId35" Type="http://schemas.openxmlformats.org/officeDocument/2006/relationships/hyperlink" Target="https://github.com/kanripo/KR3a0078" TargetMode="External"/><Relationship Id="rId36" Type="http://schemas.openxmlformats.org/officeDocument/2006/relationships/hyperlink" Target="https://github.com/kanripo/KR3a0080" TargetMode="External"/><Relationship Id="rId37" Type="http://schemas.openxmlformats.org/officeDocument/2006/relationships/hyperlink" Target="https://github.com/kanripo/KR1h0043" TargetMode="External"/><Relationship Id="rId38" Type="http://schemas.openxmlformats.org/officeDocument/2006/relationships/hyperlink" Target="https://github.com/kanripo/KR1h0034" TargetMode="External"/><Relationship Id="rId39" Type="http://schemas.openxmlformats.org/officeDocument/2006/relationships/hyperlink" Target="https://github.com/kanripo/KR1h0033" TargetMode="External"/><Relationship Id="rId40" Type="http://schemas.openxmlformats.org/officeDocument/2006/relationships/hyperlink" Target="https://github.com/kanripo/KR3a0033" TargetMode="External"/><Relationship Id="rId41" Type="http://schemas.openxmlformats.org/officeDocument/2006/relationships/hyperlink" Target="https://github.com/kanripo/KR3a0065" TargetMode="External"/><Relationship Id="rId42" Type="http://schemas.openxmlformats.org/officeDocument/2006/relationships/hyperlink" Target="https://github.com/kanripo/KR3a0058" TargetMode="External"/><Relationship Id="rId43" Type="http://schemas.openxmlformats.org/officeDocument/2006/relationships/hyperlink" Target="https://github.com/kanripo/KR3a0049" TargetMode="External"/><Relationship Id="rId44" Type="http://schemas.openxmlformats.org/officeDocument/2006/relationships/hyperlink" Target="https://github.com/kanripo/KR4d0303" TargetMode="External"/><Relationship Id="rId45" Type="http://schemas.openxmlformats.org/officeDocument/2006/relationships/hyperlink" Target="https://github.com/kanripo/KR4d0284" TargetMode="External"/><Relationship Id="rId46" Type="http://schemas.openxmlformats.org/officeDocument/2006/relationships/hyperlink" Target="https://github.com/kanripo/KR4e0108" TargetMode="External"/><Relationship Id="rId47" Type="http://schemas.openxmlformats.org/officeDocument/2006/relationships/hyperlink" Target="https://github.com/kanripo/KR3a0039" TargetMode="External"/><Relationship Id="rId48" Type="http://schemas.openxmlformats.org/officeDocument/2006/relationships/hyperlink" Target="https://github.com/kanripo/KR3a0060" TargetMode="External"/><Relationship Id="rId49" Type="http://schemas.openxmlformats.org/officeDocument/2006/relationships/hyperlink" Target="https://github.com/kanripo/KR3a0042" TargetMode="External"/><Relationship Id="rId50" Type="http://schemas.openxmlformats.org/officeDocument/2006/relationships/hyperlink" Target="https://scholarworks.iu.edu/dspace/bitstreams/84e59243-b0aa-4318-ac30-adc0454cf6a3/download" TargetMode="External"/><Relationship Id="rId51" Type="http://schemas.openxmlformats.org/officeDocument/2006/relationships/hyperlink" Target="https://github.com/kanripo/KR1h0003" TargetMode="External"/><Relationship Id="rId52" Type="http://schemas.openxmlformats.org/officeDocument/2006/relationships/hyperlink" Target="https://github.com/kanripo/KR1h0007" TargetMode="External"/><Relationship Id="rId53" Type="http://schemas.openxmlformats.org/officeDocument/2006/relationships/hyperlink" Target="https://github.com/kanripo/KR1a0007" TargetMode="External"/><Relationship Id="rId54" Type="http://schemas.openxmlformats.org/officeDocument/2006/relationships/hyperlink" Target="https://oll.libertyfund.org/titles/legge-the-chinese-classics-vol-1-the-life-and-teachings-of-confucius" TargetMode="External"/><Relationship Id="rId55" Type="http://schemas.openxmlformats.org/officeDocument/2006/relationships/hyperlink" Target="https://github.com/kanripo/KR4c0055/tree/WYG" TargetMode="External"/><Relationship Id="rId56" Type="http://schemas.openxmlformats.org/officeDocument/2006/relationships/hyperlink" Target="https://github.com/kanripo/KR4c0044" TargetMode="External"/><Relationship Id="rId57" Type="http://schemas.openxmlformats.org/officeDocument/2006/relationships/hyperlink" Target="https://github.com/kanripo/KR1d0088" TargetMode="External"/><Relationship Id="rId58" Type="http://schemas.openxmlformats.org/officeDocument/2006/relationships/hyperlink" Target="https://archive.org/details/philosophyofwang00wangiala" TargetMode="External"/><Relationship Id="rId59" Type="http://schemas.openxmlformats.org/officeDocument/2006/relationships/hyperlink" Target="https://github.com/kanripo/KR4e0245" TargetMode="External"/><Relationship Id="rId60" Type="http://schemas.openxmlformats.org/officeDocument/2006/relationships/hyperlink" Target="https://wellcomecollection.org/works/gjsncng8" TargetMode="External"/><Relationship Id="rId61" Type="http://schemas.openxmlformats.org/officeDocument/2006/relationships/hyperlink" Target="https://afe.easia.columbia.edu/ps/cup/wang_yangming_knowing_acting.pdf" TargetMode="External"/><Relationship Id="rId62" Type="http://schemas.openxmlformats.org/officeDocument/2006/relationships/hyperlink" Target="https://github.com/kanripo/KR3a0084" TargetMode="External"/><Relationship Id="rId63" Type="http://schemas.openxmlformats.org/officeDocument/2006/relationships/hyperlink" Target="https://zh.wikisource.org/wiki/&#20659;&#32722;&#37636;" TargetMode="External"/><Relationship Id="rId64" Type="http://schemas.openxmlformats.org/officeDocument/2006/relationships/hyperlink" Target="https://github.com/kanripo/KR3a0046" TargetMode="External"/><Relationship Id="rId65" Type="http://schemas.openxmlformats.org/officeDocument/2006/relationships/hyperlink" Target="https://github.com/kanripo/KR2g0046" TargetMode="External"/><Relationship Id="rId66" Type="http://schemas.openxmlformats.org/officeDocument/2006/relationships/hyperlink" Target="https://github.com/kanripo/KR3a0028" TargetMode="External"/><Relationship Id="rId67" Type="http://schemas.openxmlformats.org/officeDocument/2006/relationships/hyperlink" Target="https://github.com/kanripo/KR3a0043" TargetMode="External"/><Relationship Id="rId68" Type="http://schemas.openxmlformats.org/officeDocument/2006/relationships/hyperlink" Target="https://digitalarchive.npm.gov.tw/Collection/Detail/22754?dep=P" TargetMode="External"/><Relationship Id="rId69" Type="http://schemas.openxmlformats.org/officeDocument/2006/relationships/hyperlink" Target="https://tile.loc.gov/storage-services/service/asian/asiankrb/2019412291/1A000/1A000.pdf" TargetMode="External"/><Relationship Id="rId70" Type="http://schemas.openxmlformats.org/officeDocument/2006/relationships/hyperlink" Target="https://sillok.history.go.kr/popup/print.do?gubun=chn&amp;id=krb_10703022_005" TargetMode="External"/><Relationship Id="rId71" Type="http://schemas.openxmlformats.org/officeDocument/2006/relationships/hyperlink" Target="https://github.com/kanripo/KR3a0023" TargetMode="External"/><Relationship Id="rId72" Type="http://schemas.openxmlformats.org/officeDocument/2006/relationships/hyperlink" Target="https://github.com/kanripo/KR3a0025" TargetMode="External"/><Relationship Id="rId73" Type="http://schemas.openxmlformats.org/officeDocument/2006/relationships/hyperlink" Target="https://www2.kenyon.edu/Depts/Religion/Fac/Adler/Writings/Chou.htm" TargetMode="External"/><Relationship Id="rId74" Type="http://schemas.openxmlformats.org/officeDocument/2006/relationships/hyperlink" Target="https://github.com/kanripo/KR3a0024" TargetMode="External"/><Relationship Id="rId75" Type="http://schemas.openxmlformats.org/officeDocument/2006/relationships/hyperlink" Target="https://katalog.ulb.hhu.de/Record/9947659804606443?lng=en&amp;print=1" TargetMode="External"/><Relationship Id="rId76" Type="http://schemas.openxmlformats.org/officeDocument/2006/relationships/hyperlink" Target="https://cup.columbia.edu/book/reflections-on-things-at-hand/9780231028196/" TargetMode="External"/><Relationship Id="rId77" Type="http://schemas.openxmlformats.org/officeDocument/2006/relationships/hyperlink" Target="https://naukabooks.ru/vostlit/katalog/KartNotSerialkart480/" TargetMode="External"/><Relationship Id="rId78" Type="http://schemas.openxmlformats.org/officeDocument/2006/relationships/hyperlink" Target="https://www.gutenberg.org/ebooks/25249" TargetMode="External"/><Relationship Id="rId79" Type="http://schemas.openxmlformats.org/officeDocument/2006/relationships/hyperlink" Target="https://www.ucpress.edu/books/learning-to-be-a-sage/paper" TargetMode="External"/><Relationship Id="rId80" Type="http://schemas.openxmlformats.org/officeDocument/2006/relationships/hyperlink" Target="https://books.google.com/books?vid=ISBN9780520065253" TargetMode="External"/><Relationship Id="rId81" Type="http://schemas.openxmlformats.org/officeDocument/2006/relationships/hyperlink" Target="https://cup.columbia.edu/book/the-original-meaning-of-the-yijing/9780231191241/" TargetMode="External"/><Relationship Id="rId82" Type="http://schemas.openxmlformats.org/officeDocument/2006/relationships/hyperlink" Target="https://www.jstor.org/stable/j.ctt7zv68v" TargetMode="External"/><Relationship Id="rId83" Type="http://schemas.openxmlformats.org/officeDocument/2006/relationships/hyperlink" Target="https://github.com/kanripo/KR-Catalog" TargetMode="External"/><Relationship Id="rId84" Type="http://schemas.openxmlformats.org/officeDocument/2006/relationships/hyperlink" Target="https://creativecommons.org/licenses/by-sa/4.0/" TargetMode="External"/><Relationship Id="rId85" Type="http://schemas.openxmlformats.org/officeDocument/2006/relationships/hyperlink" Target="https://huggingface.co/datasets/cbdb/cbdb-sqlite" TargetMode="External"/><Relationship Id="rId86" Type="http://schemas.openxmlformats.org/officeDocument/2006/relationships/hyperlink" Target="https://www2.kenyon.edu/Depts/Religion/Fac/Adler/Writings/Fisherman%20and%20Woodcutter.pdf" TargetMode="External"/><Relationship Id="rId87" Type="http://schemas.openxmlformats.org/officeDocument/2006/relationships/hyperlink" Target="https://ctext.org/" TargetMode="External"/><Relationship Id="rId88" Type="http://schemas.openxmlformats.org/officeDocument/2006/relationships/hyperlink" Target="https://ctext.org/si-shu-zhang-ju-ji-zhu" TargetMode="External"/><Relationship Id="rId89" Type="http://schemas.openxmlformats.org/officeDocument/2006/relationships/hyperlink" Target="https://ctext.org/zhuzi-yulei/zh" TargetMode="External"/><Relationship Id="rId90" Type="http://schemas.openxmlformats.org/officeDocument/2006/relationships/hyperlink" Target="https://ctext.org/wiki.pl?if=en&amp;res=783276" TargetMode="External"/><Relationship Id="rId91" Type="http://schemas.openxmlformats.org/officeDocument/2006/relationships/hyperlink" Target="https://ctext.org/wiki.pl?if=en&amp;res=810670" TargetMode="External"/><Relationship Id="rId92" Type="http://schemas.openxmlformats.org/officeDocument/2006/relationships/hyperlink" Target="https://github.com/kanripo" TargetMode="External"/><Relationship Id="rId93" Type="http://schemas.openxmlformats.org/officeDocument/2006/relationships/hyperlink" Target="https://cbdb.hsites.harvard.edu/exclusive-commercial-license" TargetMode="External"/><Relationship Id="rId94" Type="http://schemas.openxmlformats.org/officeDocument/2006/relationships/hyperlink" Target="https://www.ucpress.edu/contact/rights-per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T2-46</dc:title>
  <dc:subject>Неоконфуцианство Сун–Юань–Мин: корпус, законные пути доступа и права</dc:subject>
  <dc:creator>ToS / Древо Софии</dc:creator>
  <cp:keywords>T2-46, corpus, rights, Song, Yuan, Ming, неоконфуцианство</cp:keywords>
  <dc:description>generated by python-docx</dc:description>
  <cp:lastModifiedBy/>
  <cp:revision>1</cp:revision>
  <dcterms:created xsi:type="dcterms:W3CDTF">2013-12-23T23:15:00Z</dcterms:created>
  <dcterms:modified xsi:type="dcterms:W3CDTF">2013-12-23T23:15:00Z</dcterms:modified>
  <cp:category/>
</cp:coreProperties>
</file>