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  <w:jc w:val="center"/>
      </w:pPr>
      <w:r>
        <w:rPr>
          <w:rFonts w:ascii="DejaVu Sans" w:hAnsi="DejaVu Sans"/>
          <w:b/>
          <w:color w:val="0F4C5C"/>
          <w:sz w:val="56"/>
        </w:rPr>
        <w:t>ToS Corpus &amp; Rights Registry</w:t>
      </w:r>
    </w:p>
    <w:p>
      <w:pPr>
        <w:spacing w:after="240"/>
        <w:jc w:val="center"/>
      </w:pPr>
      <w:r>
        <w:rPr>
          <w:rFonts w:ascii="DejaVu Sans" w:hAnsi="DejaVu Sans"/>
          <w:b/>
          <w:color w:val="B7791F"/>
          <w:sz w:val="38"/>
        </w:rPr>
        <w:t>A40</w:t>
      </w:r>
    </w:p>
    <w:p>
      <w:pPr>
        <w:spacing w:after="360"/>
        <w:jc w:val="center"/>
      </w:pPr>
      <w:r>
        <w:rPr>
          <w:rFonts w:ascii="DejaVu Sans" w:hAnsi="DejaVu Sans"/>
          <w:b/>
          <w:color w:val="2F6F73"/>
          <w:sz w:val="32"/>
        </w:rPr>
        <w:t>Западная Азия — южноаравийская, химьяритская и североаравийская эпиграфика до ислама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8787"/>
            <w:shd w:fill="0F4C5C"/>
            <w:tcMar>
              <w:top w:w="20" w:type="dxa"/>
              <w:start w:w="0" w:type="dxa"/>
              <w:bottom w:w="20" w:type="dxa"/>
              <w:end w:w="0" w:type="dxa"/>
            </w:tcMar>
          </w:tcPr>
          <w:p>
            <w:r/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EAF3F3"/>
            <w:tcMar>
              <w:top w:w="110" w:type="dxa"/>
              <w:start w:w="90" w:type="dxa"/>
              <w:bottom w:w="11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>
              <w:rPr>
                <w:b/>
                <w:color w:val="0F4C5C"/>
                <w:sz w:val="30"/>
              </w:rPr>
              <w:t>B</w:t>
            </w:r>
          </w:p>
          <w:p>
            <w:pPr>
              <w:spacing w:after="0" w:line="269" w:lineRule="auto"/>
              <w:jc w:val="center"/>
            </w:pPr>
            <w:r>
              <w:rPr>
                <w:rFonts w:ascii="DejaVu Sans" w:hAnsi="DejaVu Sans"/>
                <w:color w:val="4B5563"/>
                <w:sz w:val="16"/>
              </w:rPr>
              <w:t>Статус</w:t>
            </w:r>
          </w:p>
        </w:tc>
        <w:tc>
          <w:tcPr>
            <w:tcW w:type="dxa" w:w="2466"/>
            <w:shd w:fill="F6F1E7"/>
            <w:tcMar>
              <w:top w:w="110" w:type="dxa"/>
              <w:start w:w="90" w:type="dxa"/>
              <w:bottom w:w="11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>
              <w:rPr>
                <w:b/>
                <w:color w:val="0F4C5C"/>
                <w:sz w:val="30"/>
              </w:rPr>
              <w:t>3/5</w:t>
            </w:r>
          </w:p>
          <w:p>
            <w:pPr>
              <w:spacing w:after="0" w:line="269" w:lineRule="auto"/>
              <w:jc w:val="center"/>
            </w:pPr>
            <w:r>
              <w:rPr>
                <w:rFonts w:ascii="DejaVu Sans" w:hAnsi="DejaVu Sans"/>
                <w:color w:val="4B5563"/>
                <w:sz w:val="16"/>
              </w:rPr>
              <w:t>Уверенность</w:t>
            </w:r>
          </w:p>
        </w:tc>
        <w:tc>
          <w:tcPr>
            <w:tcW w:type="dxa" w:w="2466"/>
            <w:shd w:fill="EAF3F3"/>
            <w:tcMar>
              <w:top w:w="110" w:type="dxa"/>
              <w:start w:w="90" w:type="dxa"/>
              <w:bottom w:w="11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>
              <w:rPr>
                <w:b/>
                <w:color w:val="0F4C5C"/>
                <w:sz w:val="30"/>
              </w:rPr>
              <w:t>2026-09-03</w:t>
            </w:r>
          </w:p>
          <w:p>
            <w:pPr>
              <w:spacing w:after="0" w:line="269" w:lineRule="auto"/>
              <w:jc w:val="center"/>
            </w:pPr>
            <w:r>
              <w:rPr>
                <w:rFonts w:ascii="DejaVu Sans" w:hAnsi="DejaVu Sans"/>
                <w:color w:val="4B5563"/>
                <w:sz w:val="16"/>
              </w:rPr>
              <w:t>Проверка</w:t>
            </w:r>
          </w:p>
        </w:tc>
        <w:tc>
          <w:tcPr>
            <w:tcW w:type="dxa" w:w="2466"/>
            <w:shd w:fill="F6F1E7"/>
            <w:tcMar>
              <w:top w:w="110" w:type="dxa"/>
              <w:start w:w="90" w:type="dxa"/>
              <w:bottom w:w="11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>
              <w:rPr>
                <w:b/>
                <w:color w:val="0F4C5C"/>
                <w:sz w:val="30"/>
              </w:rPr>
              <w:t>83</w:t>
            </w:r>
          </w:p>
          <w:p>
            <w:pPr>
              <w:spacing w:after="0" w:line="269" w:lineRule="auto"/>
              <w:jc w:val="center"/>
            </w:pPr>
            <w:r>
              <w:rPr>
                <w:rFonts w:ascii="DejaVu Sans" w:hAnsi="DejaVu Sans"/>
                <w:color w:val="4B5563"/>
                <w:sz w:val="16"/>
              </w:rPr>
              <w:t>Записей реестра</w:t>
            </w:r>
          </w:p>
        </w:tc>
      </w:tr>
      <w:tr>
        <w:tc>
          <w:tcPr>
            <w:tcW w:type="dxa" w:w="2466"/>
            <w:shd w:fill="EAF3F3"/>
            <w:tcMar>
              <w:top w:w="110" w:type="dxa"/>
              <w:start w:w="90" w:type="dxa"/>
              <w:bottom w:w="11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>
              <w:rPr>
                <w:b/>
                <w:color w:val="0F4C5C"/>
                <w:sz w:val="30"/>
              </w:rPr>
              <w:t>12</w:t>
            </w:r>
          </w:p>
          <w:p>
            <w:pPr>
              <w:spacing w:after="0" w:line="269" w:lineRule="auto"/>
              <w:jc w:val="center"/>
            </w:pPr>
            <w:r>
              <w:rPr>
                <w:rFonts w:ascii="DejaVu Sans" w:hAnsi="DejaVu Sans"/>
                <w:color w:val="4B5563"/>
                <w:sz w:val="16"/>
              </w:rPr>
              <w:t>Пробелов</w:t>
            </w:r>
          </w:p>
        </w:tc>
        <w:tc>
          <w:tcPr>
            <w:tcW w:type="dxa" w:w="2466"/>
            <w:shd w:fill="F6F1E7"/>
            <w:tcMar>
              <w:top w:w="110" w:type="dxa"/>
              <w:start w:w="90" w:type="dxa"/>
              <w:bottom w:w="11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>
              <w:rPr>
                <w:b/>
                <w:color w:val="0F4C5C"/>
                <w:sz w:val="30"/>
              </w:rPr>
              <w:t>62</w:t>
            </w:r>
          </w:p>
          <w:p>
            <w:pPr>
              <w:spacing w:after="0" w:line="269" w:lineRule="auto"/>
              <w:jc w:val="center"/>
            </w:pPr>
            <w:r>
              <w:rPr>
                <w:rFonts w:ascii="DejaVu Sans" w:hAnsi="DejaVu Sans"/>
                <w:color w:val="4B5563"/>
                <w:sz w:val="16"/>
              </w:rPr>
              <w:t>Свободное чтение</w:t>
            </w:r>
          </w:p>
        </w:tc>
        <w:tc>
          <w:tcPr>
            <w:tcW w:type="dxa" w:w="2466"/>
            <w:shd w:fill="EAF3F3"/>
            <w:tcMar>
              <w:top w:w="110" w:type="dxa"/>
              <w:start w:w="90" w:type="dxa"/>
              <w:bottom w:w="11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>
              <w:rPr>
                <w:b/>
                <w:color w:val="0F4C5C"/>
                <w:sz w:val="30"/>
              </w:rPr>
              <w:t>24</w:t>
            </w:r>
          </w:p>
          <w:p>
            <w:pPr>
              <w:spacing w:after="0" w:line="269" w:lineRule="auto"/>
              <w:jc w:val="center"/>
            </w:pPr>
            <w:r>
              <w:rPr>
                <w:rFonts w:ascii="DejaVu Sans" w:hAnsi="DejaVu Sans"/>
                <w:color w:val="4B5563"/>
                <w:sz w:val="16"/>
              </w:rPr>
              <w:t>Скачивание</w:t>
            </w:r>
          </w:p>
        </w:tc>
        <w:tc>
          <w:tcPr>
            <w:tcW w:type="dxa" w:w="2466"/>
            <w:shd w:fill="F6F1E7"/>
            <w:tcMar>
              <w:top w:w="110" w:type="dxa"/>
              <w:start w:w="90" w:type="dxa"/>
              <w:bottom w:w="110" w:type="dxa"/>
              <w:end w:w="9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jc w:val="center"/>
            </w:pPr>
            <w:r>
              <w:rPr>
                <w:b/>
                <w:color w:val="0F4C5C"/>
                <w:sz w:val="30"/>
              </w:rPr>
              <w:t>31</w:t>
            </w:r>
          </w:p>
          <w:p>
            <w:pPr>
              <w:spacing w:after="0" w:line="269" w:lineRule="auto"/>
              <w:jc w:val="center"/>
            </w:pPr>
            <w:r>
              <w:rPr>
                <w:rFonts w:ascii="DejaVu Sans" w:hAnsi="DejaVu Sans"/>
                <w:color w:val="4B5563"/>
                <w:sz w:val="16"/>
              </w:rPr>
              <w:t>Basis для своего перевода</w:t>
            </w:r>
          </w:p>
        </w:tc>
      </w:tr>
    </w:tbl>
    <w:p/>
    <w:p>
      <w:pPr>
        <w:spacing w:after="240" w:line="288" w:lineRule="auto"/>
        <w:ind w:left="624" w:right="624"/>
        <w:jc w:val="center"/>
      </w:pPr>
      <w:r>
        <w:rPr>
          <w:rFonts w:ascii="DejaVu Sans" w:hAnsi="DejaVu Sans"/>
          <w:i/>
          <w:color w:val="4B5563"/>
          <w:sz w:val="21"/>
        </w:rPr>
        <w:t>Исследовательский пакет законных путей доступа к доисламской южноаравийской, химьяритской, североаравийской, набатейской и палеоарабской эпиграфике, включая хронологический ореол до и после ядра строки.</w:t>
      </w:r>
    </w:p>
    <w:p>
      <w:pPr>
        <w:spacing w:after="0" w:line="269" w:lineRule="auto"/>
        <w:jc w:val="center"/>
      </w:pPr>
      <w:r>
        <w:rPr>
          <w:rFonts w:ascii="DejaVu Sans" w:hAnsi="DejaVu Sans"/>
          <w:b/>
          <w:color w:val="7C2D12"/>
          <w:sz w:val="18"/>
        </w:rPr>
        <w:t>Отчёт не заменяет юридическое заключение: сильные reuse-рекомендации ограничены явно указанным rights_scope и evidence URL.</w:t>
      </w:r>
    </w:p>
    <w:p>
      <w:r>
        <w:br w:type="page"/>
      </w:r>
    </w:p>
    <w:p>
      <w:pPr>
        <w:pStyle w:val="Heading1"/>
        <w:keepNext/>
        <w:spacing w:before="240" w:after="140"/>
      </w:pPr>
      <w:r>
        <w:t>1. Паспорт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2F6F73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65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2F6F73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EAF3F3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b/>
                <w:color w:val="1F2937"/>
                <w:sz w:val="18"/>
              </w:rPr>
              <w:t>ID и название</w:t>
            </w:r>
          </w:p>
        </w:tc>
        <w:tc>
          <w:tcPr>
            <w:tcW w:type="dxa" w:w="65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8"/>
              </w:rPr>
              <w:t>A40 — Западная Азия — южноаравийская, химьяритская и североаравийская эпиграфика до ислама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EAF3F3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b/>
                <w:color w:val="1F2937"/>
                <w:sz w:val="18"/>
              </w:rPr>
              <w:t>Исходный статус</w:t>
            </w:r>
          </w:p>
        </w:tc>
        <w:tc>
          <w:tcPr>
            <w:tcW w:type="dxa" w:w="65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8"/>
              </w:rPr>
              <w:t>B; уверенность 3. Статус и границы мастер-строки не изменялись.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EAF3F3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b/>
                <w:color w:val="1F2937"/>
                <w:sz w:val="18"/>
              </w:rPr>
              <w:t>Исходный DR</w:t>
            </w:r>
          </w:p>
        </w:tc>
        <w:tc>
          <w:tcPr>
            <w:tcW w:type="dxa" w:w="65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8"/>
              </w:rPr>
              <w:t>ToS Deep Research_ A40 — Западная Азия — южноаравийская, химьяритская и североаравийская эпиграфика .docx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EAF3F3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b/>
                <w:color w:val="1F2937"/>
                <w:sz w:val="18"/>
              </w:rPr>
              <w:t>Дата проверки</w:t>
            </w:r>
          </w:p>
        </w:tc>
        <w:tc>
          <w:tcPr>
            <w:tcW w:type="dxa" w:w="65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8"/>
              </w:rPr>
              <w:t>2026-09-03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EAF3F3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b/>
                <w:color w:val="1F2937"/>
                <w:sz w:val="18"/>
              </w:rPr>
              <w:t>Языки поиска</w:t>
            </w:r>
          </w:p>
        </w:tc>
        <w:tc>
          <w:tcPr>
            <w:tcW w:type="dxa" w:w="65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8"/>
              </w:rPr>
              <w:t>Русский и английский; также французский, немецкий, итальянский и латинский для старых изданий; арабские и эпиграфические названия, научные транслитерации и каталожные идентификаторы.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EAF3F3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b/>
                <w:color w:val="1F2937"/>
                <w:sz w:val="18"/>
              </w:rPr>
              <w:t>Ядро корпуса</w:t>
            </w:r>
          </w:p>
        </w:tc>
        <w:tc>
          <w:tcPr>
            <w:tcW w:type="dxa" w:w="65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8"/>
              </w:rPr>
              <w:t>South Arabian monumental musnad; Sabaic/Minaic/Qatabanic/Hadramitic; zabūr на деревянных палочках; позднехимьяритские монотеистические надписи; Dadanitic, Taymanitic, Safaitic, Hismaic, residual “Thamudic”; Nabataean Aramaic и Paleo-Arabic.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EAF3F3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b/>
                <w:color w:val="1F2937"/>
                <w:sz w:val="18"/>
              </w:rPr>
              <w:t>Типы объектов</w:t>
            </w:r>
          </w:p>
        </w:tc>
        <w:tc>
          <w:tcPr>
            <w:tcW w:type="dxa" w:w="65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8"/>
              </w:rPr>
              <w:t>Корпусы, отдельные надписи и музейные предметы, критические издания и переводы, старые публичнодоменные сканы, IIIF/XML/datasets, библиографические и правовые навигационные записи.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EAF3F3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b/>
                <w:color w:val="1F2937"/>
                <w:sz w:val="18"/>
              </w:rPr>
              <w:t>Итоговые файлы</w:t>
            </w:r>
          </w:p>
        </w:tc>
        <w:tc>
          <w:tcPr>
            <w:tcW w:type="dxa" w:w="65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8"/>
              </w:rPr>
              <w:t>Этот отчёт и XLSX с листами registry и gaps.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3F3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6" w:color="2F6F73"/>
              <w:left w:val="single" w:sz="14" w:color="0F4C5C"/>
              <w:bottom w:val="single" w:sz="6" w:color="2F6F73"/>
              <w:right w:val="single" w:sz="6" w:color="2F6F73"/>
            </w:tcBorders>
          </w:tcPr>
          <w:p>
            <w:pPr>
              <w:spacing w:after="0" w:line="269" w:lineRule="auto"/>
            </w:pPr>
            <w:r>
              <w:rPr>
                <w:rFonts w:ascii="DejaVu Sans" w:hAnsi="DejaVu Sans"/>
                <w:b/>
                <w:color w:val="1F2937"/>
                <w:sz w:val="19"/>
              </w:rPr>
              <w:t xml:space="preserve">Метод — </w:t>
            </w:r>
            <w:r>
              <w:rPr>
                <w:rFonts w:ascii="DejaVu Sans" w:hAnsi="DejaVu Sans"/>
                <w:color w:val="1F2937"/>
                <w:sz w:val="19"/>
              </w:rPr>
              <w:t>Исходный DR использован как карта поля, а не как закрытый список. После инвентаризации ядра проведены отдельные проходы назад — к Nabonidus/Tayma и имперско-арамейской среде — и вперёд — к Syriac/Greek preservation dossier, Procopius и раннеисламской эпиграфической границе.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rPr>
          <w:rFonts w:ascii="DejaVu Sans" w:hAnsi="DejaVu Sans"/>
          <w:color w:val="1F2937"/>
          <w:sz w:val="21"/>
        </w:rPr>
        <w:t>Проверка велась на уровне конкретных путей доступа. Одна запись в XLSX означает практически отличимый цифровой или библиотечный вход: иной репозиторий, свидетель, перевод, издание, полноту или правовой режим. Поэтому 83 записи не означают 83 разных древних произведения.</w:t>
      </w:r>
    </w:p>
    <w:p>
      <w:pPr>
        <w:spacing w:after="100" w:line="269" w:lineRule="auto"/>
      </w:pPr>
      <w:r>
        <w:rPr>
          <w:rFonts w:ascii="DejaVu Sans" w:hAnsi="DejaVu Sans"/>
          <w:color w:val="1F2937"/>
          <w:sz w:val="21"/>
        </w:rPr>
        <w:t>Ключевые официальные входы:</w:t>
      </w:r>
    </w:p>
    <w:p>
      <w:pPr>
        <w:spacing w:after="40" w:line="269" w:lineRule="auto"/>
      </w:pPr>
      <w:r>
        <w:rPr>
          <w:rFonts w:ascii="DejaVu Sans" w:hAnsi="DejaVu Sans"/>
          <w:b/>
          <w:color w:val="1F2937"/>
          <w:sz w:val="18"/>
        </w:rPr>
        <w:t xml:space="preserve">DASI / CSAI: </w:t>
      </w:r>
      <w:hyperlink r:id="rId11">
        <w:r>
          <w:rPr>
            <w:rFonts w:ascii="DejaVu Sans" w:hAnsi="DejaVu Sans" w:eastAsia="DejaVu Sans"/>
            <w:color w:val="2563EB"/>
            <w:u w:val="single"/>
          </w:rPr>
          <w:t>https://dasi.cnr.it/</w:t>
        </w:r>
      </w:hyperlink>
      <w:r>
        <w:rPr>
          <w:rFonts w:ascii="DejaVu Sans" w:hAnsi="DejaVu Sans"/>
          <w:color w:val="1F2937"/>
          <w:sz w:val="18"/>
        </w:rPr>
        <w:t xml:space="preserve"> — южноаравийские корпусы и item records</w:t>
      </w:r>
    </w:p>
    <w:p>
      <w:pPr>
        <w:spacing w:after="40" w:line="269" w:lineRule="auto"/>
      </w:pPr>
      <w:r>
        <w:rPr>
          <w:rFonts w:ascii="DejaVu Sans" w:hAnsi="DejaVu Sans"/>
          <w:b/>
          <w:color w:val="1F2937"/>
          <w:sz w:val="18"/>
        </w:rPr>
        <w:t xml:space="preserve">OCIANA: </w:t>
      </w:r>
      <w:hyperlink r:id="rId12">
        <w:r>
          <w:rPr>
            <w:rFonts w:ascii="DejaVu Sans" w:hAnsi="DejaVu Sans" w:eastAsia="DejaVu Sans"/>
            <w:color w:val="2563EB"/>
            <w:u w:val="single"/>
          </w:rPr>
          <w:t>https://ociana.osu.edu/</w:t>
        </w:r>
      </w:hyperlink>
      <w:r>
        <w:rPr>
          <w:rFonts w:ascii="DejaVu Sans" w:hAnsi="DejaVu Sans"/>
          <w:color w:val="1F2937"/>
          <w:sz w:val="18"/>
        </w:rPr>
        <w:t xml:space="preserve"> — Ancient North Arabian, Safaitic, Hismaic, Dadanitic, Taymanitic, Paleo-Arabic</w:t>
      </w:r>
    </w:p>
    <w:p>
      <w:pPr>
        <w:spacing w:after="40" w:line="269" w:lineRule="auto"/>
      </w:pPr>
      <w:r>
        <w:rPr>
          <w:rFonts w:ascii="DejaVu Sans" w:hAnsi="DejaVu Sans"/>
          <w:b/>
          <w:color w:val="1F2937"/>
          <w:sz w:val="18"/>
        </w:rPr>
        <w:t xml:space="preserve">DiCoNab: </w:t>
      </w:r>
      <w:hyperlink r:id="rId13">
        <w:r>
          <w:rPr>
            <w:rFonts w:ascii="DejaVu Sans" w:hAnsi="DejaVu Sans" w:eastAsia="DejaVu Sans"/>
            <w:color w:val="2563EB"/>
            <w:u w:val="single"/>
          </w:rPr>
          <w:t>https://diconab.huma-num.fr/</w:t>
        </w:r>
      </w:hyperlink>
      <w:r>
        <w:rPr>
          <w:rFonts w:ascii="DejaVu Sans" w:hAnsi="DejaVu Sans"/>
          <w:color w:val="1F2937"/>
          <w:sz w:val="18"/>
        </w:rPr>
        <w:t xml:space="preserve"> — Nabataean и developing Arabic inscriptions</w:t>
      </w:r>
    </w:p>
    <w:p>
      <w:pPr>
        <w:spacing w:after="40" w:line="269" w:lineRule="auto"/>
      </w:pPr>
      <w:r>
        <w:rPr>
          <w:rFonts w:ascii="DejaVu Sans" w:hAnsi="DejaVu Sans"/>
          <w:b/>
          <w:color w:val="1F2937"/>
          <w:sz w:val="18"/>
        </w:rPr>
        <w:t xml:space="preserve">BSB Digitale Sammlungen: </w:t>
      </w:r>
      <w:hyperlink r:id="rId14">
        <w:r>
          <w:rPr>
            <w:rFonts w:ascii="DejaVu Sans" w:hAnsi="DejaVu Sans" w:eastAsia="DejaVu Sans"/>
            <w:color w:val="2563EB"/>
            <w:u w:val="single"/>
          </w:rPr>
          <w:t>https://www.digitale-sammlungen.de/en/ancient-south-arabian-inscriptions-on-wood</w:t>
        </w:r>
      </w:hyperlink>
      <w:r>
        <w:rPr>
          <w:rFonts w:ascii="DejaVu Sans" w:hAnsi="DejaVu Sans"/>
          <w:color w:val="1F2937"/>
          <w:sz w:val="18"/>
        </w:rPr>
        <w:t xml:space="preserve"> — деревянные палочки и IIIF</w:t>
      </w:r>
    </w:p>
    <w:p>
      <w:pPr>
        <w:spacing w:after="40" w:line="269" w:lineRule="auto"/>
      </w:pPr>
      <w:r>
        <w:rPr>
          <w:rFonts w:ascii="DejaVu Sans" w:hAnsi="DejaVu Sans"/>
          <w:b/>
          <w:color w:val="1F2937"/>
          <w:sz w:val="18"/>
        </w:rPr>
        <w:t xml:space="preserve">Ancient Arabia: </w:t>
      </w:r>
      <w:hyperlink r:id="rId15">
        <w:r>
          <w:rPr>
            <w:rFonts w:ascii="DejaVu Sans" w:hAnsi="DejaVu Sans" w:eastAsia="DejaVu Sans"/>
            <w:color w:val="2563EB"/>
            <w:u w:val="single"/>
          </w:rPr>
          <w:t>https://ancientarabia.huma-num.fr/</w:t>
        </w:r>
      </w:hyperlink>
      <w:r>
        <w:rPr>
          <w:rFonts w:ascii="DejaVu Sans" w:hAnsi="DejaVu Sans"/>
          <w:color w:val="1F2937"/>
          <w:sz w:val="18"/>
        </w:rPr>
        <w:t xml:space="preserve"> — словарь, атлас и лицензированные данные</w:t>
      </w:r>
    </w:p>
    <w:p>
      <w:pPr>
        <w:spacing w:after="40" w:line="269" w:lineRule="auto"/>
      </w:pPr>
      <w:r>
        <w:rPr>
          <w:rFonts w:ascii="DejaVu Sans" w:hAnsi="DejaVu Sans"/>
          <w:b/>
          <w:color w:val="1F2937"/>
          <w:sz w:val="18"/>
        </w:rPr>
        <w:t xml:space="preserve">ORACC RIBo: </w:t>
      </w:r>
      <w:hyperlink r:id="rId16">
        <w:r>
          <w:rPr>
            <w:rFonts w:ascii="DejaVu Sans" w:hAnsi="DejaVu Sans" w:eastAsia="DejaVu Sans"/>
            <w:color w:val="2563EB"/>
            <w:u w:val="single"/>
          </w:rPr>
          <w:t>https://oracc.museum.upenn.edu/ribo/babylon7/</w:t>
        </w:r>
      </w:hyperlink>
      <w:r>
        <w:rPr>
          <w:rFonts w:ascii="DejaVu Sans" w:hAnsi="DejaVu Sans"/>
          <w:color w:val="1F2937"/>
          <w:sz w:val="18"/>
        </w:rPr>
        <w:t xml:space="preserve"> — Nabonidus/Tayma antecedents</w:t>
      </w:r>
    </w:p>
    <w:p>
      <w:pPr>
        <w:pStyle w:val="Heading1"/>
        <w:keepNext/>
        <w:spacing w:before="240" w:after="140"/>
      </w:pPr>
      <w:r>
        <w:t>2. Охват корпуса</w:t>
      </w:r>
    </w:p>
    <w:p>
      <w:pPr>
        <w:pStyle w:val="Heading2"/>
        <w:keepNext/>
        <w:spacing w:before="160" w:after="80"/>
      </w:pPr>
      <w:r>
        <w:t>2.1. Ядро, извлечённое из исходного DR</w:t>
      </w:r>
    </w:p>
    <w:p>
      <w:pPr>
        <w:spacing w:after="100" w:line="269" w:lineRule="auto"/>
      </w:pPr>
      <w:r>
        <w:rPr>
          <w:rFonts w:ascii="DejaVu Sans" w:hAnsi="DejaVu Sans"/>
          <w:color w:val="1F2937"/>
          <w:sz w:val="21"/>
        </w:rPr>
        <w:t>В ядро вошли не абстрактная «доисламская Аравия», а разные письменные режимы, которые DR различает по языку, медиуму, институции и жанру:</w:t>
      </w:r>
    </w:p>
    <w:p>
      <w:pPr>
        <w:pStyle w:val="ListBullet"/>
        <w:spacing w:after="40" w:line="269" w:lineRule="auto"/>
      </w:pPr>
      <w:r>
        <w:rPr>
          <w:rFonts w:ascii="DejaVu Sans" w:hAnsi="DejaVu Sans"/>
          <w:color w:val="1F2937"/>
          <w:sz w:val="20"/>
        </w:rPr>
        <w:t>Южноаравийский монументальный комплекс: Sabaic и прямые корпусные родственники Minaic, Qatabanic и Hadramitic; посвятительные, строительные, царские, правовые и ритуальные тексты.</w:t>
      </w:r>
    </w:p>
    <w:p>
      <w:pPr>
        <w:pStyle w:val="ListBullet"/>
        <w:spacing w:after="40" w:line="269" w:lineRule="auto"/>
      </w:pPr>
      <w:r>
        <w:rPr>
          <w:rFonts w:ascii="DejaVu Sans" w:hAnsi="DejaVu Sans"/>
          <w:color w:val="1F2937"/>
          <w:sz w:val="20"/>
        </w:rPr>
        <w:t>Документарный zabūr: minuscule/cursive надписи на деревянных палочках, включая письма, договоры, хозяйственные записи, счета, упражнения и частноправовую документацию.</w:t>
      </w:r>
    </w:p>
    <w:p>
      <w:pPr>
        <w:pStyle w:val="ListBullet"/>
        <w:spacing w:after="40" w:line="269" w:lineRule="auto"/>
      </w:pPr>
      <w:r>
        <w:rPr>
          <w:rFonts w:ascii="DejaVu Sans" w:hAnsi="DejaVu Sans"/>
          <w:color w:val="1F2937"/>
          <w:sz w:val="20"/>
        </w:rPr>
        <w:t>Позднехимьяритский политико-теологический слой: CIH 6, CIH 541, Ja 1028, а также CIH 540, Ry 507 и Ry 508.</w:t>
      </w:r>
    </w:p>
    <w:p>
      <w:pPr>
        <w:pStyle w:val="ListBullet"/>
        <w:spacing w:after="40" w:line="269" w:lineRule="auto"/>
      </w:pPr>
      <w:r>
        <w:rPr>
          <w:rFonts w:ascii="DejaVu Sans" w:hAnsi="DejaVu Sans"/>
          <w:color w:val="1F2937"/>
          <w:sz w:val="20"/>
        </w:rPr>
        <w:t>Оазисные письменности Dadan/al-ʿUlā и Tayma: Dadanitic, Taymanitic и Imperial Aramaic.</w:t>
      </w:r>
    </w:p>
    <w:p>
      <w:pPr>
        <w:pStyle w:val="ListBullet"/>
        <w:spacing w:after="40" w:line="269" w:lineRule="auto"/>
      </w:pPr>
      <w:r>
        <w:rPr>
          <w:rFonts w:ascii="DejaVu Sans" w:hAnsi="DejaVu Sans"/>
          <w:color w:val="1F2937"/>
          <w:sz w:val="20"/>
        </w:rPr>
        <w:t>Набатейский правовой, погребальный и посвятительный корпус Северо-Западной Аравии; переход к Paleo-Arabic.</w:t>
      </w:r>
    </w:p>
    <w:p>
      <w:pPr>
        <w:pStyle w:val="ListBullet"/>
        <w:spacing w:after="40" w:line="269" w:lineRule="auto"/>
      </w:pPr>
      <w:r>
        <w:rPr>
          <w:rFonts w:ascii="DejaVu Sans" w:hAnsi="DejaVu Sans"/>
          <w:color w:val="1F2937"/>
          <w:sz w:val="20"/>
        </w:rPr>
        <w:t>Safaitic и Hismaic как массовые кочевые graffiti-корпусы: генеалогия, молитва, скорбь, риск, движение, проклятие и ритуал.</w:t>
      </w:r>
    </w:p>
    <w:p>
      <w:pPr>
        <w:pStyle w:val="ListBullet"/>
        <w:spacing w:after="40" w:line="269" w:lineRule="auto"/>
      </w:pPr>
      <w:r>
        <w:rPr>
          <w:rFonts w:ascii="DejaVu Sans" w:hAnsi="DejaVu Sans"/>
          <w:color w:val="1F2937"/>
          <w:sz w:val="20"/>
        </w:rPr>
        <w:t>“Thamudic” как residual scholarly file, а не единый язык или народ.</w:t>
      </w:r>
    </w:p>
    <w:p>
      <w:pPr>
        <w:pStyle w:val="ListBullet"/>
        <w:spacing w:after="40" w:line="269" w:lineRule="auto"/>
      </w:pPr>
      <w:r>
        <w:rPr>
          <w:rFonts w:ascii="DejaVu Sans" w:hAnsi="DejaVu Sans"/>
          <w:color w:val="1F2937"/>
          <w:sz w:val="20"/>
        </w:rPr>
        <w:t>Позднеантичные Paleo-Arabic свидетели: Raqosh, Namāra, Zabad, Jabal Says/Usays, Ḥarrān и маршрутная зона Rīʿ al-Zallālah.</w:t>
      </w:r>
    </w:p>
    <w:p>
      <w:pPr>
        <w:pStyle w:val="Heading2"/>
        <w:keepNext/>
        <w:spacing w:before="160" w:after="80"/>
      </w:pPr>
      <w:r>
        <w:t>2.2. Что добавил веб-поиск</w:t>
      </w:r>
    </w:p>
    <w:p>
      <w:pPr>
        <w:spacing w:after="100" w:line="269" w:lineRule="auto"/>
      </w:pPr>
      <w:r>
        <w:rPr>
          <w:rFonts w:ascii="DejaVu Sans" w:hAnsi="DejaVu Sans"/>
          <w:color w:val="1F2937"/>
          <w:sz w:val="21"/>
        </w:rPr>
        <w:t>Веб-поиск расширил исходную карту четырьмя типами материалов:</w:t>
      </w:r>
    </w:p>
    <w:p>
      <w:pPr>
        <w:pStyle w:val="ListBullet"/>
        <w:spacing w:after="40" w:line="269" w:lineRule="auto"/>
      </w:pPr>
      <w:r>
        <w:rPr>
          <w:rFonts w:ascii="DejaVu Sans" w:hAnsi="DejaVu Sans"/>
          <w:color w:val="1F2937"/>
          <w:sz w:val="20"/>
        </w:rPr>
        <w:t>Item-level входами: DASI-records для CIH 6/541, Ja 1028, CIH 540, Ry 507/508; OCIANA-witnesses с явными CC BY фотографиями; DiCoNab-records для переходных надписей.</w:t>
      </w:r>
    </w:p>
    <w:p>
      <w:pPr>
        <w:pStyle w:val="ListBullet"/>
        <w:spacing w:after="40" w:line="269" w:lineRule="auto"/>
      </w:pPr>
      <w:r>
        <w:rPr>
          <w:rFonts w:ascii="DejaVu Sans" w:hAnsi="DejaVu Sans"/>
          <w:color w:val="1F2937"/>
          <w:sz w:val="20"/>
        </w:rPr>
        <w:t>Факсимильным документарным слоем: BSB Mon.script.sab. 156 и 153, IIIF Presentation/Image API и OAI-PMH/JSON-LD инфраструктура.</w:t>
      </w:r>
    </w:p>
    <w:p>
      <w:pPr>
        <w:pStyle w:val="ListBullet"/>
        <w:spacing w:after="40" w:line="269" w:lineRule="auto"/>
      </w:pPr>
      <w:r>
        <w:rPr>
          <w:rFonts w:ascii="DejaVu Sans" w:hAnsi="DejaVu Sans"/>
          <w:color w:val="1F2937"/>
          <w:sz w:val="20"/>
        </w:rPr>
        <w:t>Историей публикации: CIS II и IV, Répertoire d’épigraphie sémitique, Halévy, Jaussen–Savignac и Littmann — не как современные авторитетные чтения, а как законные старые сканы и preservation trail.</w:t>
      </w:r>
    </w:p>
    <w:p>
      <w:pPr>
        <w:pStyle w:val="ListBullet"/>
        <w:spacing w:after="40" w:line="269" w:lineRule="auto"/>
      </w:pPr>
      <w:r>
        <w:rPr>
          <w:rFonts w:ascii="DejaVu Sans" w:hAnsi="DejaVu Sans"/>
          <w:color w:val="1F2937"/>
          <w:sz w:val="20"/>
        </w:rPr>
        <w:t>Современными лучшими научными маршрутами: Al-Jallad по Safaitic, Tayma III, Stein/Drewes–Ryckmans/Maraqten по wooden sticks, Wiley-статья по Paleo-Arabic, Shahid и Detoraki–Beaucamp по Najran dossier.</w:t>
      </w:r>
    </w:p>
    <w:p>
      <w:pPr>
        <w:pStyle w:val="Heading2"/>
        <w:keepNext/>
        <w:spacing w:before="160" w:after="80"/>
      </w:pPr>
      <w:r>
        <w:t>2.3. Открытый хронологический контур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0F4C5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6"/>
              </w:rPr>
              <w:t>Слой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0F4C5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Объекты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0F4C5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Конкретная связь с A40</w:t>
            </w:r>
          </w:p>
        </w:tc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0F4C5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6"/>
              </w:rPr>
              <w:t>Роль</w:t>
            </w:r>
          </w:p>
        </w:tc>
      </w:tr>
      <w:tr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Раньше ядра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Nabonidus inscriptions 58/60/61; Tayma Stele AO 1505; Nabonidus Chronicle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Имперская и документарная предыстория Tayma, Imperial Aramaic и оазисной письменности.</w:t>
            </w:r>
          </w:p>
        </w:tc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antecedent</w:t>
            </w:r>
          </w:p>
        </w:tc>
      </w:tr>
      <w:tr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Параллельный внешний свидетель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Periplus of the Erythraean Sea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Описывает порты, торговлю и политическую географию Южной Аравии в эпоху части эпиграфического корпуса.</w:t>
            </w:r>
          </w:p>
        </w:tc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supporting</w:t>
            </w:r>
          </w:p>
        </w:tc>
      </w:tr>
      <w:tr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Поздняя передача и сохранение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Letter of Simeon; Book of the Himyarites; Greek Martyrdom of Arethas; Shahid dossier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Сохраняет и переоформляет события Himyar/Najran, соотносимые с Ja 1028 и позднехимьяритской конфессиональной политикой.</w:t>
            </w:r>
          </w:p>
        </w:tc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transmission_or_preservation</w:t>
            </w:r>
          </w:p>
        </w:tc>
      </w:tr>
      <w:tr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Позднеантичная рецепция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Procopius, History of Wars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Внешняя грекоязычная рамка Aksum–Himyar и царской политики того же исторического поля.</w:t>
            </w:r>
          </w:p>
        </w:tc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commentary_or_reception</w:t>
            </w:r>
          </w:p>
        </w:tc>
      </w:tr>
      <w:tr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После формальной границы</w:t>
            </w:r>
          </w:p>
        </w:tc>
        <w:tc>
          <w:tcPr>
            <w:tcW w:type="dxa" w:w="2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Zuhayr inscription, 24 AH / 644–645</w:t>
            </w:r>
          </w:p>
        </w:tc>
        <w:tc>
          <w:tcPr>
            <w:tcW w:type="dxa" w:w="3969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Непосредственное продолжение истории арабского письма после доисламского Paleo-Arabic; не смешивается с Кораном и книжной традицией.</w:t>
            </w:r>
          </w:p>
        </w:tc>
        <w:tc>
          <w:tcPr>
            <w:tcW w:type="dxa" w:w="136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continuation</w:t>
            </w:r>
          </w:p>
        </w:tc>
      </w:tr>
    </w:tbl>
    <w:p/>
    <w:p>
      <w:pPr>
        <w:pStyle w:val="Heading2"/>
        <w:keepNext/>
        <w:spacing w:before="160" w:after="80"/>
      </w:pPr>
      <w:r>
        <w:t>2.4. Количественный срез</w:t>
      </w:r>
    </w:p>
    <w:p>
      <w:pPr>
        <w:spacing w:after="100" w:line="269" w:lineRule="auto"/>
      </w:pPr>
      <w:r>
        <w:rPr>
          <w:rFonts w:ascii="DejaVu Sans" w:hAnsi="DejaVu Sans"/>
          <w:color w:val="1F2937"/>
          <w:sz w:val="21"/>
        </w:rPr>
        <w:t>Реестр содержит 83 практически различимых способов доступа и 12 целевых пробелов. Прямое ядро помечено 32 записями; ещё 9 относятся к той же корпусной семье, 5 — к входящим источникам, 13 — к сохранению и редакции, 1 — к непосредственному продолжению. Отдельно учтены 9 инфраструктурных и 4 вторично-навигационных записей.</w:t>
      </w:r>
    </w:p>
    <w:p>
      <w:pPr>
        <w:spacing w:after="100" w:line="269" w:lineRule="auto"/>
      </w:pPr>
      <w:r>
        <w:rPr>
          <w:rFonts w:ascii="DejaVu Sans" w:hAnsi="DejaVu Sans"/>
          <w:color w:val="1F2937"/>
          <w:sz w:val="21"/>
        </w:rPr>
        <w:t>По типам объектов это 6 самостоятельных corpus records, 16 конкретных физических свидетелей, 22 цифровых текстов/факсимиле и 25 изданий или переводов. Эти количества описывают записи доступа, а не число всех известных древних надписей.</w:t>
      </w:r>
    </w:p>
    <w:p>
      <w:pPr>
        <w:pStyle w:val="Heading1"/>
        <w:keepNext/>
        <w:spacing w:before="240" w:after="140"/>
      </w:pPr>
      <w:r>
        <w:t>3. Лучшие пути доступа</w:t>
      </w:r>
    </w:p>
    <w:p>
      <w:pPr>
        <w:pStyle w:val="Heading2"/>
        <w:keepNext/>
        <w:spacing w:before="160" w:after="80"/>
      </w:pPr>
      <w:r>
        <w:t>3.1. Южноаравийский monumental и Himyar</w:t>
      </w:r>
    </w:p>
    <w:p>
      <w:pPr>
        <w:spacing w:after="100" w:line="269" w:lineRule="auto"/>
      </w:pPr>
      <w:r>
        <w:rPr>
          <w:rFonts w:ascii="DejaVu Sans" w:hAnsi="DejaVu Sans"/>
          <w:color w:val="1F2937"/>
          <w:sz w:val="21"/>
        </w:rPr>
        <w:t>Лучшее бесплатное чтение: DASI/CSAI Sabaic Corpus и item records CIH 6, CIH 541 и Ja 1028. На момент проверки поисковый индекс и права подтверждались, но live interface был закрыт Anubis-челленджем; поэтому статус не завышен до полностью live-verified.</w:t>
      </w:r>
    </w:p>
    <w:p>
      <w:pPr>
        <w:spacing w:after="100" w:line="269" w:lineRule="auto"/>
      </w:pPr>
      <w:r>
        <w:rPr>
          <w:rFonts w:ascii="DejaVu Sans" w:hAnsi="DejaVu Sans"/>
          <w:color w:val="1F2937"/>
          <w:sz w:val="21"/>
        </w:rPr>
        <w:t>Лучший старый свободный слой: CIS II.1 (1889) с Public Domain Mark. Он пригоден для локального OCR, индексации и собственного перевода по покрытым надписям, но старые чтения следует сверять с DASI.</w:t>
      </w:r>
    </w:p>
    <w:p>
      <w:pPr>
        <w:spacing w:after="100" w:line="269" w:lineRule="auto"/>
      </w:pPr>
      <w:r>
        <w:rPr>
          <w:rFonts w:ascii="DejaVu Sans" w:hAnsi="DejaVu Sans"/>
          <w:color w:val="1F2937"/>
          <w:sz w:val="21"/>
        </w:rPr>
        <w:t>Лучший современный научный маршрут: DASI как критический digital corpus; для общего монотеистического контекста — открытый Zenodo PDF, но его license field пуст и он остаётся link-only для повторного размещения.</w:t>
      </w:r>
    </w:p>
    <w:p>
      <w:pPr>
        <w:spacing w:after="40" w:line="269" w:lineRule="auto"/>
      </w:pPr>
      <w:r>
        <w:rPr>
          <w:rFonts w:ascii="DejaVu Sans" w:hAnsi="DejaVu Sans"/>
          <w:b/>
          <w:color w:val="1F2937"/>
          <w:sz w:val="18"/>
        </w:rPr>
        <w:t xml:space="preserve">DASI CIH 541: </w:t>
      </w:r>
      <w:hyperlink r:id="rId17">
        <w:r>
          <w:rPr>
            <w:rFonts w:ascii="DejaVu Sans" w:hAnsi="DejaVu Sans" w:eastAsia="DejaVu Sans"/>
            <w:color w:val="2563EB"/>
            <w:u w:val="single"/>
          </w:rPr>
          <w:t>https://dasi.cnr.it/csai-epi-2382</w:t>
        </w:r>
      </w:hyperlink>
      <w:r>
        <w:rPr>
          <w:rFonts w:ascii="DejaVu Sans" w:hAnsi="DejaVu Sans"/>
          <w:color w:val="1F2937"/>
          <w:sz w:val="18"/>
        </w:rPr>
        <w:t xml:space="preserve"> — record data CC BY 4.0; images excluded</w:t>
      </w:r>
    </w:p>
    <w:p>
      <w:pPr>
        <w:spacing w:after="40" w:line="269" w:lineRule="auto"/>
      </w:pPr>
      <w:r>
        <w:rPr>
          <w:rFonts w:ascii="DejaVu Sans" w:hAnsi="DejaVu Sans"/>
          <w:b/>
          <w:color w:val="1F2937"/>
          <w:sz w:val="18"/>
        </w:rPr>
        <w:t xml:space="preserve">CIS II.1: </w:t>
      </w:r>
      <w:hyperlink r:id="rId18">
        <w:r>
          <w:rPr>
            <w:rFonts w:ascii="DejaVu Sans" w:hAnsi="DejaVu Sans" w:eastAsia="DejaVu Sans"/>
            <w:color w:val="2563EB"/>
            <w:u w:val="single"/>
          </w:rPr>
          <w:t>https://archive.org/details/CorpusInscriptionumSemiticarumII1</w:t>
        </w:r>
      </w:hyperlink>
      <w:r>
        <w:rPr>
          <w:rFonts w:ascii="DejaVu Sans" w:hAnsi="DejaVu Sans"/>
          <w:color w:val="1F2937"/>
          <w:sz w:val="18"/>
        </w:rPr>
        <w:t xml:space="preserve"> — public-domain legacy edition and scan</w:t>
      </w:r>
    </w:p>
    <w:p>
      <w:pPr>
        <w:pStyle w:val="Heading2"/>
        <w:keepNext/>
        <w:spacing w:before="160" w:after="80"/>
      </w:pPr>
      <w:r>
        <w:t>3.2. Zabūr и деревянные палочки</w:t>
      </w:r>
    </w:p>
    <w:p>
      <w:pPr>
        <w:spacing w:after="100" w:line="269" w:lineRule="auto"/>
      </w:pPr>
      <w:r>
        <w:rPr>
          <w:rFonts w:ascii="DejaVu Sans" w:hAnsi="DejaVu Sans"/>
          <w:color w:val="1F2937"/>
          <w:sz w:val="21"/>
        </w:rPr>
        <w:t>Лучший путь к оригиналу/факсимиле: цифровая коллекция BSB и конкретные Mon.script.sab. items; технически доступны IIIF manifests. Лучший корпусный текстовый вход — CSAI minuscule corpus в DASI. Лучшие современные издания — Stein, Drewes–Ryckmans и Maraqten; большинство требуют покупки или библиотечного доступа, хотя Maraqten доступен через MENAdoc для чтения.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6F1E7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6" w:color="2F6F73"/>
              <w:left w:val="single" w:sz="14" w:color="0F4C5C"/>
              <w:bottom w:val="single" w:sz="6" w:color="2F6F73"/>
              <w:right w:val="single" w:sz="6" w:color="2F6F73"/>
            </w:tcBorders>
          </w:tcPr>
          <w:p>
            <w:pPr>
              <w:spacing w:after="0" w:line="269" w:lineRule="auto"/>
            </w:pPr>
            <w:r>
              <w:rPr>
                <w:rFonts w:ascii="DejaVu Sans" w:hAnsi="DejaVu Sans"/>
                <w:b/>
                <w:color w:val="1F2937"/>
                <w:sz w:val="19"/>
              </w:rPr>
              <w:t xml:space="preserve">Не путать — </w:t>
            </w:r>
            <w:r>
              <w:rPr>
                <w:rFonts w:ascii="DejaVu Sans" w:hAnsi="DejaVu Sans"/>
                <w:color w:val="1F2937"/>
                <w:sz w:val="19"/>
              </w:rPr>
              <w:t>IIIF-манифест обеспечивает технический доступ к изображению, но не является лицензией. До извлечения item-level rights BSB остаётся FREE_READ / LOCAL_RESEARCH_COPY / LINK_ONLY.</w:t>
            </w:r>
          </w:p>
        </w:tc>
      </w:tr>
    </w:tbl>
    <w:p>
      <w:pPr>
        <w:spacing w:after="40"/>
      </w:pPr>
    </w:p>
    <w:p>
      <w:pPr>
        <w:spacing w:after="40" w:line="269" w:lineRule="auto"/>
      </w:pPr>
      <w:r>
        <w:rPr>
          <w:rFonts w:ascii="DejaVu Sans" w:hAnsi="DejaVu Sans"/>
          <w:b/>
          <w:color w:val="1F2937"/>
          <w:sz w:val="18"/>
        </w:rPr>
        <w:t xml:space="preserve">BSB collection: </w:t>
      </w:r>
      <w:hyperlink r:id="rId14">
        <w:r>
          <w:rPr>
            <w:rFonts w:ascii="DejaVu Sans" w:hAnsi="DejaVu Sans" w:eastAsia="DejaVu Sans"/>
            <w:color w:val="2563EB"/>
            <w:u w:val="single"/>
          </w:rPr>
          <w:t>https://www.digitale-sammlungen.de/en/ancient-south-arabian-inscriptions-on-wood</w:t>
        </w:r>
      </w:hyperlink>
      <w:r>
        <w:rPr>
          <w:rFonts w:ascii="DejaVu Sans" w:hAnsi="DejaVu Sans"/>
          <w:color w:val="1F2937"/>
          <w:sz w:val="18"/>
        </w:rPr>
        <w:t xml:space="preserve"> — facsimile corpus and item pages</w:t>
      </w:r>
    </w:p>
    <w:p>
      <w:pPr>
        <w:spacing w:after="40" w:line="269" w:lineRule="auto"/>
      </w:pPr>
      <w:r>
        <w:rPr>
          <w:rFonts w:ascii="DejaVu Sans" w:hAnsi="DejaVu Sans"/>
          <w:b/>
          <w:color w:val="1F2937"/>
          <w:sz w:val="18"/>
        </w:rPr>
        <w:t xml:space="preserve">Maraqten 2014: </w:t>
      </w:r>
      <w:hyperlink r:id="rId19">
        <w:r>
          <w:rPr>
            <w:rFonts w:ascii="DejaVu Sans" w:hAnsi="DejaVu Sans" w:eastAsia="DejaVu Sans"/>
            <w:color w:val="2563EB"/>
            <w:u w:val="single"/>
          </w:rPr>
          <w:t>https://www.orient-institut.org/publications/bts-beiruter-texte-und-studien/details/altsuedarabische-texte-auf-holzstabchen-epigraphische-und-kulturhistorische-untersuchungen.html</w:t>
        </w:r>
      </w:hyperlink>
      <w:r>
        <w:rPr>
          <w:rFonts w:ascii="DejaVu Sans" w:hAnsi="DejaVu Sans"/>
          <w:color w:val="1F2937"/>
          <w:sz w:val="18"/>
        </w:rPr>
        <w:t xml:space="preserve"> — 100 edited texts; MENAdoc view and purchase</w:t>
      </w:r>
    </w:p>
    <w:p>
      <w:pPr>
        <w:pStyle w:val="Heading2"/>
        <w:keepNext/>
        <w:spacing w:before="160" w:after="80"/>
      </w:pPr>
      <w:r>
        <w:t>3.3. Dadanitic, Taymanitic и Tayma</w:t>
      </w:r>
    </w:p>
    <w:p>
      <w:pPr>
        <w:spacing w:after="100" w:line="269" w:lineRule="auto"/>
      </w:pPr>
      <w:r>
        <w:rPr>
          <w:rFonts w:ascii="DejaVu Sans" w:hAnsi="DejaVu Sans"/>
          <w:color w:val="1F2937"/>
          <w:sz w:val="21"/>
        </w:rPr>
        <w:t>Лучшее бесплатное чтение и скачивание: OCIANA preliminary Dadanitic и Taymanitic PDFs. Лучший современный полный научный вариант по Тайме — Tayma III (2025), свободно читаемый и скачиваемый, но DAI terms ограничивают систематическую загрузку, перевод и помещение в базы без согласия.</w:t>
      </w:r>
    </w:p>
    <w:p>
      <w:pPr>
        <w:spacing w:after="100" w:line="269" w:lineRule="auto"/>
      </w:pPr>
      <w:r>
        <w:rPr>
          <w:rFonts w:ascii="DejaVu Sans" w:hAnsi="DejaVu Sans"/>
          <w:color w:val="1F2937"/>
          <w:sz w:val="21"/>
        </w:rPr>
        <w:t>Лучший antecedent-layer: ORACC RIBo records Nabonidus 58/60/61 под CC BY-SA 3.0; они дают открытый Akkadian text/transliteration и чистую основу для собственного перевода в пределах записей.</w:t>
      </w:r>
    </w:p>
    <w:p>
      <w:pPr>
        <w:spacing w:after="40" w:line="269" w:lineRule="auto"/>
      </w:pPr>
      <w:r>
        <w:rPr>
          <w:rFonts w:ascii="DejaVu Sans" w:hAnsi="DejaVu Sans"/>
          <w:b/>
          <w:color w:val="1F2937"/>
          <w:sz w:val="18"/>
        </w:rPr>
        <w:t xml:space="preserve">OCIANA Dadanitic PDF: </w:t>
      </w:r>
      <w:hyperlink r:id="rId20">
        <w:r>
          <w:rPr>
            <w:rFonts w:ascii="DejaVu Sans" w:hAnsi="DejaVu Sans" w:eastAsia="DejaVu Sans"/>
            <w:color w:val="2563EB"/>
            <w:u w:val="single"/>
          </w:rPr>
          <w:t>https://krc.orient.ox.ac.uk/resources/ociana/corpora/ociana_dadanitic.pdf</w:t>
        </w:r>
      </w:hyperlink>
    </w:p>
    <w:p>
      <w:pPr>
        <w:spacing w:after="40" w:line="269" w:lineRule="auto"/>
      </w:pPr>
      <w:r>
        <w:rPr>
          <w:rFonts w:ascii="DejaVu Sans" w:hAnsi="DejaVu Sans"/>
          <w:b/>
          <w:color w:val="1F2937"/>
          <w:sz w:val="18"/>
        </w:rPr>
        <w:t xml:space="preserve">Tayma III: </w:t>
      </w:r>
      <w:hyperlink r:id="rId21">
        <w:r>
          <w:rPr>
            <w:rFonts w:ascii="DejaVu Sans" w:hAnsi="DejaVu Sans" w:eastAsia="DejaVu Sans"/>
            <w:color w:val="2563EB"/>
            <w:u w:val="single"/>
          </w:rPr>
          <w:t>https://publications.dainst.org/books/dai/catalog/book/2176</w:t>
        </w:r>
      </w:hyperlink>
      <w:r>
        <w:rPr>
          <w:rFonts w:ascii="DejaVu Sans" w:hAnsi="DejaVu Sans"/>
          <w:color w:val="1F2937"/>
          <w:sz w:val="18"/>
        </w:rPr>
        <w:t xml:space="preserve"> — OA reading; restrictive reuse terms</w:t>
      </w:r>
    </w:p>
    <w:p>
      <w:pPr>
        <w:spacing w:after="40" w:line="269" w:lineRule="auto"/>
      </w:pPr>
      <w:r>
        <w:rPr>
          <w:rFonts w:ascii="DejaVu Sans" w:hAnsi="DejaVu Sans"/>
          <w:b/>
          <w:color w:val="1F2937"/>
          <w:sz w:val="18"/>
        </w:rPr>
        <w:t xml:space="preserve">ORACC licence: </w:t>
      </w:r>
      <w:hyperlink r:id="rId22">
        <w:r>
          <w:rPr>
            <w:rFonts w:ascii="DejaVu Sans" w:hAnsi="DejaVu Sans" w:eastAsia="DejaVu Sans"/>
            <w:color w:val="2563EB"/>
            <w:u w:val="single"/>
          </w:rPr>
          <w:t>https://oracc.museum.upenn.edu/doc/about/licensing/index.html</w:t>
        </w:r>
      </w:hyperlink>
      <w:r>
        <w:rPr>
          <w:rFonts w:ascii="DejaVu Sans" w:hAnsi="DejaVu Sans"/>
          <w:color w:val="1F2937"/>
          <w:sz w:val="18"/>
        </w:rPr>
        <w:t xml:space="preserve"> — CC BY-SA 3.0 unless stated otherwise</w:t>
      </w:r>
    </w:p>
    <w:p>
      <w:pPr>
        <w:pStyle w:val="Heading2"/>
        <w:keepNext/>
        <w:spacing w:before="160" w:after="80"/>
      </w:pPr>
      <w:r>
        <w:t>3.4. Safaitic, Hismaic и residual “Thamudic”</w:t>
      </w:r>
    </w:p>
    <w:p>
      <w:pPr>
        <w:spacing w:after="100" w:line="269" w:lineRule="auto"/>
      </w:pPr>
      <w:r>
        <w:rPr>
          <w:rFonts w:ascii="DejaVu Sans" w:hAnsi="DejaVu Sans"/>
          <w:color w:val="1F2937"/>
          <w:sz w:val="21"/>
        </w:rPr>
        <w:t>Лучший корпусный вход: OCIANA portal и downloadable PDFs. Лучший современный свободно читаемый синтез — Al-Jallad, The Religion and Rituals of the Nomads of Pre-Islamic Arabia, CC BY-NC-ND 4.0: файл можно некоммерчески передавать без изменений, но нельзя перерабатывать или переводить как производную публикацию без отдельного основания.</w:t>
      </w:r>
    </w:p>
    <w:p>
      <w:pPr>
        <w:spacing w:after="100" w:line="269" w:lineRule="auto"/>
      </w:pPr>
      <w:r>
        <w:rPr>
          <w:rFonts w:ascii="DejaVu Sans" w:hAnsi="DejaVu Sans"/>
          <w:color w:val="1F2937"/>
          <w:sz w:val="21"/>
        </w:rPr>
        <w:t>Лучший свободный image-based basis: конкретные OCIANA items, где фотография помечена CC BY — AAWAB 4, Is.R 4, Al-Mafraq Museum 72, ShNGA 1, TMES 24 и другие. Это позволяет ToS самостоятельно OCR-транскрибировать и переводить видимый древний текст, но не копировать современный OCIANA translation/commentary.</w:t>
      </w:r>
    </w:p>
    <w:p>
      <w:pPr>
        <w:spacing w:after="100" w:line="269" w:lineRule="auto"/>
      </w:pPr>
      <w:r>
        <w:rPr>
          <w:rFonts w:ascii="DejaVu Sans" w:hAnsi="DejaVu Sans"/>
          <w:color w:val="1F2937"/>
          <w:sz w:val="21"/>
        </w:rPr>
        <w:t>Лучший старый downloadable corpus: Littmann 1904; rights label полезен в U.S./repository context, но срок автора требует международной осторожности до 2029.</w:t>
      </w:r>
    </w:p>
    <w:p>
      <w:pPr>
        <w:spacing w:after="40" w:line="269" w:lineRule="auto"/>
      </w:pPr>
      <w:r>
        <w:rPr>
          <w:rFonts w:ascii="DejaVu Sans" w:hAnsi="DejaVu Sans"/>
          <w:b/>
          <w:color w:val="1F2937"/>
          <w:sz w:val="18"/>
        </w:rPr>
        <w:t xml:space="preserve">OCIANA Safaitic PDF: </w:t>
      </w:r>
      <w:hyperlink r:id="rId23">
        <w:r>
          <w:rPr>
            <w:rFonts w:ascii="DejaVu Sans" w:hAnsi="DejaVu Sans" w:eastAsia="DejaVu Sans"/>
            <w:color w:val="2563EB"/>
            <w:u w:val="single"/>
          </w:rPr>
          <w:t>https://krc.orient.ox.ac.uk/resources/ociana/corpora/ociana_safaitic.pdf</w:t>
        </w:r>
      </w:hyperlink>
    </w:p>
    <w:p>
      <w:pPr>
        <w:spacing w:after="40" w:line="269" w:lineRule="auto"/>
      </w:pPr>
      <w:r>
        <w:rPr>
          <w:rFonts w:ascii="DejaVu Sans" w:hAnsi="DejaVu Sans"/>
          <w:b/>
          <w:color w:val="1F2937"/>
          <w:sz w:val="18"/>
        </w:rPr>
        <w:t xml:space="preserve">Al-Jallad 2022: </w:t>
      </w:r>
      <w:hyperlink r:id="rId24">
        <w:r>
          <w:rPr>
            <w:rFonts w:ascii="DejaVu Sans" w:hAnsi="DejaVu Sans" w:eastAsia="DejaVu Sans"/>
            <w:color w:val="2563EB"/>
            <w:u w:val="single"/>
          </w:rPr>
          <w:t>https://library.oapen.org/handle/20.500.12657/54655</w:t>
        </w:r>
      </w:hyperlink>
      <w:r>
        <w:rPr>
          <w:rFonts w:ascii="DejaVu Sans" w:hAnsi="DejaVu Sans"/>
          <w:color w:val="1F2937"/>
          <w:sz w:val="18"/>
        </w:rPr>
        <w:t xml:space="preserve"> — CC BY-NC-ND 4.0</w:t>
      </w:r>
    </w:p>
    <w:p>
      <w:pPr>
        <w:pStyle w:val="Heading2"/>
        <w:keepNext/>
        <w:spacing w:before="160" w:after="80"/>
      </w:pPr>
      <w:r>
        <w:t>3.5. Nabataean и Paleo-Arabic</w:t>
      </w:r>
    </w:p>
    <w:p>
      <w:pPr>
        <w:spacing w:after="100" w:line="269" w:lineRule="auto"/>
      </w:pPr>
      <w:r>
        <w:rPr>
          <w:rFonts w:ascii="DejaVu Sans" w:hAnsi="DejaVu Sans"/>
          <w:color w:val="1F2937"/>
          <w:sz w:val="21"/>
        </w:rPr>
        <w:t>Лучший рабочий digital corpus — DiCoNab: Raqosh, Namāra, Zabad, Usays/Jabal Says, Ḥarrān и Ruwāfa. EpiHub фиксирует CC BY-NC 4.0 для resource-level text/data; фотографии и item-level компоненты требуют проверки. Для A40 это главный путь от Nabataean Aramaic к fully evolved pre-Islamic Arabic script.</w:t>
      </w:r>
    </w:p>
    <w:p>
      <w:pPr>
        <w:spacing w:after="100" w:line="269" w:lineRule="auto"/>
      </w:pPr>
      <w:r>
        <w:rPr>
          <w:rFonts w:ascii="DejaVu Sans" w:hAnsi="DejaVu Sans"/>
          <w:color w:val="1F2937"/>
          <w:sz w:val="21"/>
        </w:rPr>
        <w:t>Лучший современный обзор перехода — Wiley article 10.1111/aae.12235, но он остаётся institutional/preview. Лучший старый facsimile/publication layer — Jaussen–Savignac, с юрисдикционными оговорками.</w:t>
      </w:r>
    </w:p>
    <w:p>
      <w:pPr>
        <w:spacing w:after="40" w:line="269" w:lineRule="auto"/>
      </w:pPr>
      <w:r>
        <w:rPr>
          <w:rFonts w:ascii="DejaVu Sans" w:hAnsi="DejaVu Sans"/>
          <w:b/>
          <w:color w:val="1F2937"/>
          <w:sz w:val="18"/>
        </w:rPr>
        <w:t xml:space="preserve">DiCoNab rights record: </w:t>
      </w:r>
      <w:hyperlink r:id="rId25">
        <w:r>
          <w:rPr>
            <w:rFonts w:ascii="DejaVu Sans" w:hAnsi="DejaVu Sans" w:eastAsia="DejaVu Sans"/>
            <w:color w:val="2563EB"/>
            <w:u w:val="single"/>
          </w:rPr>
          <w:t>https://open-epihub.cnr.it/resources/8</w:t>
        </w:r>
      </w:hyperlink>
      <w:r>
        <w:rPr>
          <w:rFonts w:ascii="DejaVu Sans" w:hAnsi="DejaVu Sans"/>
          <w:color w:val="1F2937"/>
          <w:sz w:val="18"/>
        </w:rPr>
        <w:t xml:space="preserve"> — resource licence CC BY-NC 4.0</w:t>
      </w:r>
    </w:p>
    <w:p>
      <w:pPr>
        <w:spacing w:after="40" w:line="269" w:lineRule="auto"/>
      </w:pPr>
      <w:r>
        <w:rPr>
          <w:rFonts w:ascii="DejaVu Sans" w:hAnsi="DejaVu Sans"/>
          <w:b/>
          <w:color w:val="1F2937"/>
          <w:sz w:val="18"/>
        </w:rPr>
        <w:t xml:space="preserve">Namāra item: </w:t>
      </w:r>
      <w:hyperlink r:id="rId26">
        <w:r>
          <w:rPr>
            <w:rFonts w:ascii="DejaVu Sans" w:hAnsi="DejaVu Sans" w:eastAsia="DejaVu Sans"/>
            <w:color w:val="2563EB"/>
            <w:u w:val="single"/>
          </w:rPr>
          <w:t>https://diconab.huma-num.fr/inscriptions/616</w:t>
        </w:r>
      </w:hyperlink>
    </w:p>
    <w:p>
      <w:pPr>
        <w:pStyle w:val="Heading2"/>
        <w:keepNext/>
        <w:spacing w:before="160" w:after="80"/>
      </w:pPr>
      <w:r>
        <w:t>3.6. Himyar/Najran: линии сохранения</w:t>
      </w:r>
    </w:p>
    <w:p>
      <w:pPr>
        <w:spacing w:after="100" w:line="269" w:lineRule="auto"/>
      </w:pPr>
      <w:r>
        <w:rPr>
          <w:rFonts w:ascii="DejaVu Sans" w:hAnsi="DejaVu Sans"/>
          <w:color w:val="1F2937"/>
          <w:sz w:val="21"/>
        </w:rPr>
        <w:t>Лучший чистый свободный оригинальный слой — Syriac Letter of Simeon в Guidi 1881: Public Domain Mark, полный скан, пригодный для OCR и собственного перевода. The Book of the Himyarites доступен в BYU viewer, но права на scan не установлены. Shahid 1971 доступен через Controlled Digital Lending. Для Greek Martyrdom of Arethas найден CC0 authority record и защищённое современное critical edition Detoraki–Beaucamp, но не найден старый свободный полный Greek text.</w:t>
      </w:r>
    </w:p>
    <w:p>
      <w:pPr>
        <w:spacing w:after="40" w:line="269" w:lineRule="auto"/>
      </w:pPr>
      <w:r>
        <w:rPr>
          <w:rFonts w:ascii="DejaVu Sans" w:hAnsi="DejaVu Sans"/>
          <w:b/>
          <w:color w:val="1F2937"/>
          <w:sz w:val="18"/>
        </w:rPr>
        <w:t xml:space="preserve">Guidi 1881 / Simeon: </w:t>
      </w:r>
      <w:hyperlink r:id="rId27">
        <w:r>
          <w:rPr>
            <w:rFonts w:ascii="DejaVu Sans" w:hAnsi="DejaVu Sans" w:eastAsia="DejaVu Sans"/>
            <w:color w:val="2563EB"/>
            <w:u w:val="single"/>
          </w:rPr>
          <w:t>https://archive.org/details/LaLetteraDiSimeone</w:t>
        </w:r>
      </w:hyperlink>
      <w:r>
        <w:rPr>
          <w:rFonts w:ascii="DejaVu Sans" w:hAnsi="DejaVu Sans"/>
          <w:color w:val="1F2937"/>
          <w:sz w:val="18"/>
        </w:rPr>
        <w:t xml:space="preserve"> — public-domain Syriac edition</w:t>
      </w:r>
    </w:p>
    <w:p>
      <w:pPr>
        <w:spacing w:after="40" w:line="269" w:lineRule="auto"/>
      </w:pPr>
      <w:r>
        <w:rPr>
          <w:rFonts w:ascii="DejaVu Sans" w:hAnsi="DejaVu Sans"/>
          <w:b/>
          <w:color w:val="1F2937"/>
          <w:sz w:val="18"/>
        </w:rPr>
        <w:t xml:space="preserve">Book of the Himyarites: </w:t>
      </w:r>
      <w:hyperlink r:id="rId28">
        <w:r>
          <w:rPr>
            <w:rFonts w:ascii="DejaVu Sans" w:hAnsi="DejaVu Sans" w:eastAsia="DejaVu Sans"/>
            <w:color w:val="2563EB"/>
            <w:u w:val="single"/>
          </w:rPr>
          <w:t>https://contentdm.lib.byu.edu/digital/collection/CUA/id/45292/</w:t>
        </w:r>
      </w:hyperlink>
      <w:r>
        <w:rPr>
          <w:rFonts w:ascii="DejaVu Sans" w:hAnsi="DejaVu Sans"/>
          <w:color w:val="1F2937"/>
          <w:sz w:val="18"/>
        </w:rPr>
        <w:t xml:space="preserve"> — free viewer; scan rights review</w:t>
      </w:r>
    </w:p>
    <w:p>
      <w:pPr>
        <w:spacing w:after="40" w:line="269" w:lineRule="auto"/>
      </w:pPr>
      <w:r>
        <w:rPr>
          <w:rFonts w:ascii="DejaVu Sans" w:hAnsi="DejaVu Sans"/>
          <w:b/>
          <w:color w:val="1F2937"/>
          <w:sz w:val="18"/>
        </w:rPr>
        <w:t xml:space="preserve">Arethas authority record: </w:t>
      </w:r>
      <w:hyperlink r:id="rId29">
        <w:r>
          <w:rPr>
            <w:rFonts w:ascii="DejaVu Sans" w:hAnsi="DejaVu Sans" w:eastAsia="DejaVu Sans"/>
            <w:color w:val="2563EB"/>
            <w:u w:val="single"/>
          </w:rPr>
          <w:t>https://doi.org/10.25446/oxford.13905362</w:t>
        </w:r>
      </w:hyperlink>
      <w:r>
        <w:rPr>
          <w:rFonts w:ascii="DejaVu Sans" w:hAnsi="DejaVu Sans"/>
          <w:color w:val="1F2937"/>
          <w:sz w:val="18"/>
        </w:rPr>
        <w:t xml:space="preserve"> — CC0 metadata only</w:t>
      </w:r>
    </w:p>
    <w:p>
      <w:pPr>
        <w:pStyle w:val="Heading2"/>
        <w:keepNext/>
        <w:spacing w:before="160" w:after="80"/>
      </w:pPr>
      <w:r>
        <w:t>3.7. Внешний контекст и машинные слои</w:t>
      </w:r>
    </w:p>
    <w:p>
      <w:pPr>
        <w:spacing w:after="100" w:line="269" w:lineRule="auto"/>
      </w:pPr>
      <w:r>
        <w:rPr>
          <w:rFonts w:ascii="DejaVu Sans" w:hAnsi="DejaVu Sans"/>
          <w:color w:val="1F2937"/>
          <w:sz w:val="21"/>
        </w:rPr>
        <w:t>Periplus доступен через Project Gutenberg в McCrindle translation и как Schoff 1912 scan. Для карты ToS наиболее свободны Gazetteer of Ancient Arabia (CC BY 4.0), Ancient Arabia project data (CC BY-NC-SA 4.0), ORACC text data (CC BY-SA 3.0) и DASI record data (CC BY 4.0). OCIANA XML имеет сильную техническую ценность, но неясную corpus-wide лицензию.</w:t>
      </w:r>
    </w:p>
    <w:p>
      <w:pPr>
        <w:pStyle w:val="Heading1"/>
        <w:keepNext/>
        <w:spacing w:before="240" w:after="140"/>
      </w:pPr>
      <w:r>
        <w:t>4. Карта прав и практического использования</w:t>
      </w:r>
    </w:p>
    <w:p>
      <w:pPr>
        <w:pStyle w:val="Heading2"/>
        <w:keepNext/>
        <w:spacing w:before="160" w:after="80"/>
      </w:pPr>
      <w:r>
        <w:t>4.1. Что ToS может потенциально зеркалировать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0F4C5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6"/>
              </w:rPr>
              <w:t>Слой</w:t>
            </w:r>
          </w:p>
        </w:tc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0F4C5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Основание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0F4C5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6"/>
              </w:rPr>
              <w:t>Разрешённое направление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0F4C5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6"/>
              </w:rPr>
              <w:t>Критическая граница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DASI record text/data</w:t>
            </w:r>
          </w:p>
        </w:tc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CC BY 4.0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Зеркало с атрибуцией; full-text index; embeddings; собственные переводы отдельных записей.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Фотографии исключены.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ORACC RIBo text/data</w:t>
            </w:r>
          </w:p>
        </w:tc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CC BY-SA 3.0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Зеркало с атрибуцией; индексация; embeddings; производные переводы.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ShareAlike и credits обязательны; внешние фото отдельно.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Ancient Arabia data</w:t>
            </w:r>
          </w:p>
        </w:tc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CC BY-NC-SA 4.0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Некоммерческое зеркало, индекс и embeddings.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NC + ShareAlike; изображения/annexes могут отличаться.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Gazetteer export</w:t>
            </w:r>
          </w:p>
        </w:tc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CC BY 4.0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Машиночитаемое зеркало и graph ingestion с атрибуцией.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Только dataset scope.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DiCoNab project text/data</w:t>
            </w:r>
          </w:p>
        </w:tc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CC BY-NC 4.0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Некоммерческое зеркало/индекс/перевод с атрибуцией.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Terms/item components и фото требуют подтверждения.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Named OCIANA photographs</w:t>
            </w:r>
          </w:p>
        </w:tc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Item-level CC BY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Зеркало фотографии с атрибуцией; OCR и ToS-created transcription/translation.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Не переносить лицензию на OCIANA translation/commentary.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Explicit-PD old scans</w:t>
            </w:r>
          </w:p>
        </w:tc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PDM / NOT_IN_COPYRIGHT / PG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Mirror, OCR, index, embeddings; translation where original text is present.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Учитывать jurisdiction и modern add-ons.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Oxford Arethas record</w:t>
            </w:r>
          </w:p>
        </w:tc>
        <w:tc>
          <w:tcPr>
            <w:tcW w:type="dxa" w:w="158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CC0</w:t>
            </w:r>
          </w:p>
        </w:tc>
        <w:tc>
          <w:tcPr>
            <w:tcW w:type="dxa" w:w="29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Свободное metadata mirror/index.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6"/>
              </w:rPr>
              <w:t>Не полный Greek text и не Detoraki edition.</w:t>
            </w:r>
          </w:p>
        </w:tc>
      </w:tr>
    </w:tbl>
    <w:p/>
    <w:p>
      <w:pPr>
        <w:pStyle w:val="Heading2"/>
        <w:keepNext/>
        <w:spacing w:before="160" w:after="80"/>
      </w:pPr>
      <w:r>
        <w:t>4.2. Некоммерческое и неизменённое использование</w:t>
      </w:r>
    </w:p>
    <w:p>
      <w:pPr>
        <w:spacing w:after="100" w:line="269" w:lineRule="auto"/>
      </w:pPr>
      <w:r>
        <w:rPr>
          <w:rFonts w:ascii="DejaVu Sans" w:hAnsi="DejaVu Sans"/>
          <w:color w:val="1F2937"/>
          <w:sz w:val="21"/>
        </w:rPr>
        <w:t>CC BY-NC и CC BY-NC-SA полезны для текущего некоммерческого ToS, но условия должны быть сохранены при публичном распространении. Al-Jallad 2022 дополнительно содержит ND: безопасная рекомендация — передавать неизменённый файл с атрибуцией и не использовать его как основу для переработанного издания или перевода книги.</w:t>
      </w:r>
    </w:p>
    <w:p>
      <w:pPr>
        <w:spacing w:after="100" w:line="269" w:lineRule="auto"/>
      </w:pPr>
      <w:r>
        <w:rPr>
          <w:rFonts w:ascii="DejaVu Sans" w:hAnsi="DejaVu Sans"/>
          <w:color w:val="1F2937"/>
          <w:sz w:val="21"/>
        </w:rPr>
        <w:t>Поскольку ToS может в будущем изменить модель распространения, NC-слой следует маркировать отдельно в storage/index pipeline, а не смешивать с CC BY/CC0/Public Domain.</w:t>
      </w:r>
    </w:p>
    <w:p>
      <w:pPr>
        <w:pStyle w:val="Heading2"/>
        <w:keepNext/>
        <w:spacing w:before="160" w:after="80"/>
      </w:pPr>
      <w:r>
        <w:t>4.3. Бесплатно читать или скачать, но не зеркалировать</w:t>
      </w:r>
    </w:p>
    <w:p>
      <w:pPr>
        <w:pStyle w:val="ListBullet"/>
        <w:spacing w:after="40" w:line="269" w:lineRule="auto"/>
      </w:pPr>
      <w:r>
        <w:rPr>
          <w:rFonts w:ascii="DejaVu Sans" w:hAnsi="DejaVu Sans"/>
          <w:color w:val="1F2937"/>
          <w:sz w:val="20"/>
        </w:rPr>
        <w:t>OCIANA corpus PDFs и XML: бесплатный download подтверждён, corpus-wide licence — нет.</w:t>
      </w:r>
    </w:p>
    <w:p>
      <w:pPr>
        <w:pStyle w:val="ListBullet"/>
        <w:spacing w:after="40" w:line="269" w:lineRule="auto"/>
      </w:pPr>
      <w:r>
        <w:rPr>
          <w:rFonts w:ascii="DejaVu Sans" w:hAnsi="DejaVu Sans"/>
          <w:color w:val="1F2937"/>
          <w:sz w:val="20"/>
        </w:rPr>
        <w:t>BSB facsimiles/IIIF: технический доступ есть, item rights не нормализованы.</w:t>
      </w:r>
    </w:p>
    <w:p>
      <w:pPr>
        <w:pStyle w:val="ListBullet"/>
        <w:spacing w:after="40" w:line="269" w:lineRule="auto"/>
      </w:pPr>
      <w:r>
        <w:rPr>
          <w:rFonts w:ascii="DejaVu Sans" w:hAnsi="DejaVu Sans"/>
          <w:color w:val="1F2937"/>
          <w:sz w:val="20"/>
        </w:rPr>
        <w:t>Tayma III: OA PDF, но DAI terms прямо ограничивают систематическую загрузку, перевод, редактирование и database storage.</w:t>
      </w:r>
    </w:p>
    <w:p>
      <w:pPr>
        <w:pStyle w:val="ListBullet"/>
        <w:spacing w:after="40" w:line="269" w:lineRule="auto"/>
      </w:pPr>
      <w:r>
        <w:rPr>
          <w:rFonts w:ascii="DejaVu Sans" w:hAnsi="DejaVu Sans"/>
          <w:color w:val="1F2937"/>
          <w:sz w:val="20"/>
        </w:rPr>
        <w:t>Zenodo Monotheistic Pre-Islamic South Arabia: файл скачивается, licence field пуст.</w:t>
      </w:r>
    </w:p>
    <w:p>
      <w:pPr>
        <w:pStyle w:val="ListBullet"/>
        <w:spacing w:after="40" w:line="269" w:lineRule="auto"/>
      </w:pPr>
      <w:r>
        <w:rPr>
          <w:rFonts w:ascii="DejaVu Sans" w:hAnsi="DejaVu Sans"/>
          <w:color w:val="1F2937"/>
          <w:sz w:val="20"/>
        </w:rPr>
        <w:t>Book of the Himyarites в BYU: viewer доступен, scan rights оставлены пользователю для определения.</w:t>
      </w:r>
    </w:p>
    <w:p>
      <w:pPr>
        <w:pStyle w:val="Heading2"/>
        <w:keepNext/>
        <w:spacing w:before="160" w:after="80"/>
      </w:pPr>
      <w:r>
        <w:t>4.4. Link-only, borrow, preview и purchase</w:t>
      </w:r>
    </w:p>
    <w:p>
      <w:pPr>
        <w:spacing w:after="100" w:line="269" w:lineRule="auto"/>
      </w:pPr>
      <w:r>
        <w:rPr>
          <w:rFonts w:ascii="DejaVu Sans" w:hAnsi="DejaVu Sans"/>
          <w:color w:val="1F2937"/>
          <w:sz w:val="21"/>
        </w:rPr>
        <w:t>Modern critical editions Stein, Drewes–Ryckmans, Detoraki–Beaucamp и Wiley article остаются link-only/purchase/institutional. Shahid 1971 — library borrow после бесплатной регистрации. Эти записи сохранены, потому что они являются лучшими научными путями, хотя не дают ToS права хранить публичную копию.</w:t>
      </w:r>
    </w:p>
    <w:p>
      <w:pPr>
        <w:pStyle w:val="Heading2"/>
        <w:keepNext/>
        <w:spacing w:before="160" w:after="80"/>
      </w:pPr>
      <w:r>
        <w:t>4.5. Собственный перевод 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3E7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6" w:color="2F6F73"/>
              <w:left w:val="single" w:sz="14" w:color="0F4C5C"/>
              <w:bottom w:val="single" w:sz="6" w:color="2F6F73"/>
              <w:right w:val="single" w:sz="6" w:color="2F6F73"/>
            </w:tcBorders>
          </w:tcPr>
          <w:p>
            <w:pPr>
              <w:spacing w:after="0" w:line="269" w:lineRule="auto"/>
            </w:pPr>
            <w:r>
              <w:rPr>
                <w:rFonts w:ascii="DejaVu Sans" w:hAnsi="DejaVu Sans"/>
                <w:b/>
                <w:color w:val="1F2937"/>
                <w:sz w:val="19"/>
              </w:rPr>
              <w:t xml:space="preserve">Чистые основы — </w:t>
            </w:r>
            <w:r>
              <w:rPr>
                <w:rFonts w:ascii="DejaVu Sans" w:hAnsi="DejaVu Sans"/>
                <w:color w:val="1F2937"/>
                <w:sz w:val="19"/>
              </w:rPr>
              <w:t>В 31 записях установлен конкретный basis, но почти всегда он ограничен одним record или witness. Наиболее надёжны: DASI record transcription (CC BY), ORACC text/transliteration (CC BY-SA), Guidi 1881 Syriac edition, CIS II.1 и иные explicit-PD scans, а также явно CC BY photographs отдельных OCIANA items.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rPr>
          <w:rFonts w:ascii="DejaVu Sans" w:hAnsi="DejaVu Sans"/>
          <w:color w:val="1F2937"/>
          <w:sz w:val="21"/>
        </w:rPr>
        <w:t>ToS не должен создавать «свободный» перевод, просто переписав защищённый modern translation. При использовании фотографии нужно сначала сделать собственную транскрипцию; при использовании старого корпуса — зафиксировать точное издание и покрытие; при использовании CC BY-SA — сохранить ShareAlike там, где производная опирается на лицензированный editorial layer.</w:t>
      </w:r>
    </w:p>
    <w:p>
      <w:pPr>
        <w:pStyle w:val="Heading1"/>
        <w:keepNext/>
        <w:spacing w:before="240" w:after="140"/>
      </w:pPr>
      <w:r>
        <w:t>5. Характерные правовые тонкости</w:t>
      </w:r>
    </w:p>
    <w:p>
      <w:pPr>
        <w:spacing w:after="80" w:line="269" w:lineRule="auto"/>
      </w:pPr>
      <w:r>
        <w:rPr>
          <w:rFonts w:ascii="DejaVu Sans" w:hAnsi="DejaVu Sans"/>
          <w:b/>
          <w:color w:val="1F2937"/>
          <w:sz w:val="20"/>
        </w:rPr>
        <w:t xml:space="preserve">Древний текст ≠ современное издание. </w:t>
      </w:r>
      <w:r>
        <w:rPr>
          <w:rFonts w:ascii="DejaVu Sans" w:hAnsi="DejaVu Sans"/>
          <w:color w:val="1F2937"/>
          <w:sz w:val="20"/>
        </w:rPr>
        <w:t>Возраст надписи освобождает исходное произведение, но не modern reconstruction, punctuation, translation, commentary, database selection или photograph.</w:t>
      </w:r>
    </w:p>
    <w:p>
      <w:pPr>
        <w:spacing w:after="80" w:line="269" w:lineRule="auto"/>
      </w:pPr>
      <w:r>
        <w:rPr>
          <w:rFonts w:ascii="DejaVu Sans" w:hAnsi="DejaVu Sans"/>
          <w:b/>
          <w:color w:val="1F2937"/>
          <w:sz w:val="20"/>
        </w:rPr>
        <w:t xml:space="preserve">Data licence ≠ image licence. </w:t>
      </w:r>
      <w:r>
        <w:rPr>
          <w:rFonts w:ascii="DejaVu Sans" w:hAnsi="DejaVu Sans"/>
          <w:color w:val="1F2937"/>
          <w:sz w:val="20"/>
        </w:rPr>
        <w:t>DASI прямо отделяет CC BY record data от изображений. OCIANA делает обратную картину на некоторых items: photo CC BY, но corpus text licence unidentified.</w:t>
      </w:r>
    </w:p>
    <w:p>
      <w:pPr>
        <w:spacing w:after="80" w:line="269" w:lineRule="auto"/>
      </w:pPr>
      <w:r>
        <w:rPr>
          <w:rFonts w:ascii="DejaVu Sans" w:hAnsi="DejaVu Sans"/>
          <w:b/>
          <w:color w:val="1F2937"/>
          <w:sz w:val="20"/>
        </w:rPr>
        <w:t xml:space="preserve">Download/IIIF ≠ permission. </w:t>
      </w:r>
      <w:r>
        <w:rPr>
          <w:rFonts w:ascii="DejaVu Sans" w:hAnsi="DejaVu Sans"/>
          <w:color w:val="1F2937"/>
          <w:sz w:val="20"/>
        </w:rPr>
        <w:t>Кнопка Download, IIIF manifest или XML endpoint описывает доступ, а не право на публичное повторное размещение.</w:t>
      </w:r>
    </w:p>
    <w:p>
      <w:pPr>
        <w:spacing w:after="80" w:line="269" w:lineRule="auto"/>
      </w:pPr>
      <w:r>
        <w:rPr>
          <w:rFonts w:ascii="DejaVu Sans" w:hAnsi="DejaVu Sans"/>
          <w:b/>
          <w:color w:val="1F2937"/>
          <w:sz w:val="20"/>
        </w:rPr>
        <w:t xml:space="preserve">Project-level ≠ component-level. </w:t>
      </w:r>
      <w:r>
        <w:rPr>
          <w:rFonts w:ascii="DejaVu Sans" w:hAnsi="DejaVu Sans"/>
          <w:color w:val="1F2937"/>
          <w:sz w:val="20"/>
        </w:rPr>
        <w:t>DiCoNab resource-level CC BY-NC нельзя без проверки распространить на every photograph; Ancient Arabia licence likewise не должна поглощать third-party materials.</w:t>
      </w:r>
    </w:p>
    <w:p>
      <w:pPr>
        <w:spacing w:after="80" w:line="269" w:lineRule="auto"/>
      </w:pPr>
      <w:r>
        <w:rPr>
          <w:rFonts w:ascii="DejaVu Sans" w:hAnsi="DejaVu Sans"/>
          <w:b/>
          <w:color w:val="1F2937"/>
          <w:sz w:val="20"/>
        </w:rPr>
        <w:t xml:space="preserve">PDM ≠ licence. </w:t>
      </w:r>
      <w:r>
        <w:rPr>
          <w:rFonts w:ascii="DejaVu Sans" w:hAnsi="DejaVu Sans"/>
          <w:color w:val="1F2937"/>
          <w:sz w:val="20"/>
        </w:rPr>
        <w:t>Public Domain Mark сообщает статус, но не является лицензией. В реестре он записан как rights statement, а не как договорное разрешение.</w:t>
      </w:r>
    </w:p>
    <w:p>
      <w:pPr>
        <w:spacing w:after="80" w:line="269" w:lineRule="auto"/>
      </w:pPr>
      <w:r>
        <w:rPr>
          <w:rFonts w:ascii="DejaVu Sans" w:hAnsi="DejaVu Sans"/>
          <w:b/>
          <w:color w:val="1F2937"/>
          <w:sz w:val="20"/>
        </w:rPr>
        <w:t xml:space="preserve">U.S. public domain ≠ worldwide. </w:t>
      </w:r>
      <w:r>
        <w:rPr>
          <w:rFonts w:ascii="DejaVu Sans" w:hAnsi="DejaVu Sans"/>
          <w:color w:val="1F2937"/>
          <w:sz w:val="20"/>
        </w:rPr>
        <w:t>Project Gutenberg и старые U.S.-published editions могут быть свободны в США, но modern translator/author term способен сохраняться в life+70 jurisdictions.</w:t>
      </w:r>
    </w:p>
    <w:p>
      <w:pPr>
        <w:spacing w:after="80" w:line="269" w:lineRule="auto"/>
      </w:pPr>
      <w:r>
        <w:rPr>
          <w:rFonts w:ascii="DejaVu Sans" w:hAnsi="DejaVu Sans"/>
          <w:b/>
          <w:color w:val="1F2937"/>
          <w:sz w:val="20"/>
        </w:rPr>
        <w:t xml:space="preserve">NC-ND требует дисциплины. </w:t>
      </w:r>
      <w:r>
        <w:rPr>
          <w:rFonts w:ascii="DejaVu Sans" w:hAnsi="DejaVu Sans"/>
          <w:color w:val="1F2937"/>
          <w:sz w:val="20"/>
        </w:rPr>
        <w:t>Al-Jallad можно читать, скачивать и передавать некоммерчески без изменений; перевод книги, адаптированное издание и публичная переработка требуют отдельного основания.</w:t>
      </w:r>
    </w:p>
    <w:p>
      <w:pPr>
        <w:spacing w:after="80" w:line="269" w:lineRule="auto"/>
      </w:pPr>
      <w:r>
        <w:rPr>
          <w:rFonts w:ascii="DejaVu Sans" w:hAnsi="DejaVu Sans"/>
          <w:b/>
          <w:color w:val="1F2937"/>
          <w:sz w:val="20"/>
        </w:rPr>
        <w:t xml:space="preserve">Критическое чтение может быть защищённой реконструкцией. </w:t>
      </w:r>
      <w:r>
        <w:rPr>
          <w:rFonts w:ascii="DejaVu Sans" w:hAnsi="DejaVu Sans"/>
          <w:color w:val="1F2937"/>
          <w:sz w:val="20"/>
        </w:rPr>
        <w:t>Для fragmentary/ambiguous inscriptions современный reading сам содержит творческий editorial вклад. OWN_TRANSLATION_POSSIBLE ставился только при наличии открытого original text/transcription или очищенного facsimile basis.</w:t>
      </w:r>
    </w:p>
    <w:p>
      <w:pPr>
        <w:pStyle w:val="Heading1"/>
        <w:keepNext/>
        <w:spacing w:before="240" w:after="140"/>
      </w:pPr>
      <w:r>
        <w:t>6. Пробелы и дальнейший поиск</w:t>
      </w:r>
    </w:p>
    <w:p>
      <w:pPr>
        <w:spacing w:after="100" w:line="269" w:lineRule="auto"/>
      </w:pPr>
      <w:r>
        <w:rPr>
          <w:rFonts w:ascii="DejaVu Sans" w:hAnsi="DejaVu Sans"/>
          <w:color w:val="1F2937"/>
          <w:sz w:val="21"/>
        </w:rPr>
        <w:t>Главные пробелы не означают отсутствие объекта; чаще это отсутствие item-level rights, устойчивого direct download или достаточного open original layer.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0F4C5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5"/>
              </w:rPr>
              <w:t>Пробел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0F4C5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5"/>
              </w:rPr>
              <w:t>Почему важен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0F4C5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5"/>
              </w:rPr>
              <w:t>Следующий точечный ход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5"/>
              </w:rPr>
              <w:t>Dussaud &amp; Macler, Voyage archéologique au Ṣafâ (1901)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5"/>
              </w:rPr>
              <w:t>Early Safaitic publication history and copies.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5"/>
              </w:rPr>
              <w:t>Search Gallica/BnF/IMA and institutional digitization requests; verify public-domain status and scan provenance.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5"/>
              </w:rPr>
              <w:t>OCIANA corpus-wide text/translation licence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5"/>
              </w:rPr>
              <w:t>Controls public indexing, embeddings and mirroring of XML/PDF text.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5"/>
              </w:rPr>
              <w:t>Contact OCIANA/Oxford for written scope covering text, translations, commentary, XML and images.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5"/>
              </w:rPr>
              <w:t>DiCoNab component-level image/item licences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5"/>
              </w:rPr>
              <w:t>Needed before mirroring photographs or assuming one licence covers all items.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5"/>
              </w:rPr>
              <w:t>Recheck terms and image credits; request a component rights matrix.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5"/>
              </w:rPr>
              <w:t>DASI live item/API/bulk availability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5"/>
              </w:rPr>
              <w:t>Needed for ingestion and comprehensive validation.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5"/>
              </w:rPr>
              <w:t>Retry in browser; map item JSON/API/bulk exports; preserve attribution and image exclusions.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5"/>
              </w:rPr>
              <w:t>BSB wooden-stick item rights statements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5"/>
              </w:rPr>
              <w:t>Could provide clean OCR/translation bases for zabūr.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5"/>
              </w:rPr>
              <w:t>Inspect rights panel for each Mon.script.sab.; separate image rights from IIIF availability.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5"/>
              </w:rPr>
              <w:t>Open full texts of modern wooden-stick critical editions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5"/>
              </w:rPr>
              <w:t>Best scholarly readings of the documentary core.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5"/>
              </w:rPr>
              <w:t>Search author repositories/MENAdoc/library catalogues; request indexing/quotation permission.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5"/>
              </w:rPr>
              <w:t>Book of the Himyarites — exact BYU digital-object rights/direct file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5"/>
              </w:rPr>
              <w:t>Primary Syriac witness for Himyar/Najran.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5"/>
              </w:rPr>
              <w:t>Retrieve ContentDM rights metadata/API; separate edition status from scan rights; locate another PD scan.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5"/>
              </w:rPr>
              <w:t>Old public-domain Greek edition of Martyrdom of Arethas (BHG 166)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5"/>
              </w:rPr>
              <w:t>Would permit an independent ToS translation and Syriac comparison.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5"/>
              </w:rPr>
              <w:t>Search old Patrologia/Analecta editions in Gallica, HathiTrust, Google Books and BnF.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5"/>
              </w:rPr>
              <w:t>Zuhayr inscription — authoritative open item/facsimile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5"/>
              </w:rPr>
              <w:t>Immediate transition into dated early Islamic Arabic epigraphy.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5"/>
              </w:rPr>
              <w:t>Find original Ghabban–Hoyland article, Saudi heritage record and licensed photo/transcription.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5"/>
              </w:rPr>
              <w:t>Residual “Thamudic” groups and corpus completeness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5"/>
              </w:rPr>
              <w:t>Avoids treating “Thamudic” as one language/people while preserving residual material.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5"/>
              </w:rPr>
              <w:t>Map B/C/D/F-Himaitic labels, reassignments, corpus PDFs and item rights.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5"/>
              </w:rPr>
              <w:t>Museum image reuse for Louvre/British Museum objects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5"/>
              </w:rPr>
              <w:t>Museum witnesses become OCR/translation bases only with explicit photo rights.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5"/>
              </w:rPr>
              <w:t>Extract item-level licence/credit; prefer CC0/PDM/CC BY images or keep link-only.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5"/>
              </w:rPr>
              <w:t>Russian translations of the primary corpus</w:t>
            </w:r>
          </w:p>
        </w:tc>
        <w:tc>
          <w:tcPr>
            <w:tcW w:type="dxa" w:w="283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5"/>
              </w:rPr>
              <w:t>ToS needs accessible Russian text without copying protected translations.</w:t>
            </w:r>
          </w:p>
        </w:tc>
        <w:tc>
          <w:tcPr>
            <w:tcW w:type="dxa" w:w="35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5"/>
              </w:rPr>
              <w:t>Create ToS translations from DASI CC BY data, ORACC CC BY-SA data, explicit-PD editions and cleared facsimiles, record by record.</w:t>
            </w:r>
          </w:p>
        </w:tc>
      </w:tr>
    </w:tbl>
    <w:p/>
    <w:p>
      <w:pPr>
        <w:pStyle w:val="Heading2"/>
        <w:keepNext/>
        <w:spacing w:before="160" w:after="80"/>
      </w:pPr>
      <w:r>
        <w:t>6.1. Недоступные или нестабильные ссылки</w:t>
      </w:r>
    </w:p>
    <w:p>
      <w:pPr>
        <w:pStyle w:val="ListBullet"/>
        <w:spacing w:after="40" w:line="269" w:lineRule="auto"/>
      </w:pPr>
      <w:r>
        <w:rPr>
          <w:rFonts w:ascii="DejaVu Sans" w:hAnsi="DejaVu Sans"/>
          <w:color w:val="1F2937"/>
          <w:sz w:val="20"/>
        </w:rPr>
        <w:t>DASI: licence and search-index evidence obtained; live pages blocked by Anubis challenge in this session.</w:t>
      </w:r>
    </w:p>
    <w:p>
      <w:pPr>
        <w:pStyle w:val="ListBullet"/>
        <w:spacing w:after="40" w:line="269" w:lineRule="auto"/>
      </w:pPr>
      <w:r>
        <w:rPr>
          <w:rFonts w:ascii="DejaVu Sans" w:hAnsi="DejaVu Sans"/>
          <w:color w:val="1F2937"/>
          <w:sz w:val="20"/>
        </w:rPr>
        <w:t>DiCoNab: resource description and licence verified; selected item/terms routes intermittently returned 403.</w:t>
      </w:r>
    </w:p>
    <w:p>
      <w:pPr>
        <w:pStyle w:val="ListBullet"/>
        <w:spacing w:after="40" w:line="269" w:lineRule="auto"/>
      </w:pPr>
      <w:r>
        <w:rPr>
          <w:rFonts w:ascii="DejaVu Sans" w:hAnsi="DejaVu Sans"/>
          <w:color w:val="1F2937"/>
          <w:sz w:val="20"/>
        </w:rPr>
        <w:t>Oxford Research Archive OCIANA XML deposit: existence verified from official project description; repository fetch returned 403.</w:t>
      </w:r>
    </w:p>
    <w:p>
      <w:pPr>
        <w:pStyle w:val="ListBullet"/>
        <w:spacing w:after="40" w:line="269" w:lineRule="auto"/>
      </w:pPr>
      <w:r>
        <w:rPr>
          <w:rFonts w:ascii="DejaVu Sans" w:hAnsi="DejaVu Sans"/>
          <w:color w:val="1F2937"/>
          <w:sz w:val="20"/>
        </w:rPr>
        <w:t>Leiden 2026 Safaitic thesis: repository URL identified, but file fetch returned 403.</w:t>
      </w:r>
    </w:p>
    <w:p>
      <w:pPr>
        <w:pStyle w:val="ListBullet"/>
        <w:spacing w:after="40" w:line="269" w:lineRule="auto"/>
      </w:pPr>
      <w:r>
        <w:rPr>
          <w:rFonts w:ascii="DejaVu Sans" w:hAnsi="DejaVu Sans"/>
          <w:color w:val="1F2937"/>
          <w:sz w:val="20"/>
        </w:rPr>
        <w:t>No authoritative open item-level page was found for the Zuhayr inscription; the UNESCO record remains metadata/preview only.</w:t>
      </w:r>
    </w:p>
    <w:p>
      <w:pPr>
        <w:pStyle w:val="Heading2"/>
        <w:keepNext/>
        <w:spacing w:before="160" w:after="80"/>
      </w:pPr>
      <w:r>
        <w:t>6.2. Targeted follow-up</w:t>
      </w:r>
    </w:p>
    <w:p>
      <w:pPr>
        <w:pStyle w:val="ListNumber"/>
        <w:spacing w:after="40" w:line="269" w:lineRule="auto"/>
      </w:pPr>
      <w:r>
        <w:rPr>
          <w:rFonts w:ascii="DejaVu Sans" w:hAnsi="DejaVu Sans"/>
          <w:color w:val="1F2937"/>
          <w:sz w:val="20"/>
        </w:rPr>
        <w:t>Получить письменное разъяснение OCIANA о лицензии на transcriptions, translations, commentary, PDFs и XML deposit.</w:t>
      </w:r>
    </w:p>
    <w:p>
      <w:pPr>
        <w:pStyle w:val="ListNumber"/>
        <w:spacing w:after="40" w:line="269" w:lineRule="auto"/>
      </w:pPr>
      <w:r>
        <w:rPr>
          <w:rFonts w:ascii="DejaVu Sans" w:hAnsi="DejaVu Sans"/>
          <w:color w:val="1F2937"/>
          <w:sz w:val="20"/>
        </w:rPr>
        <w:t>Повторно открыть DASI в обычном browser session и составить карту API/bulk/DOI, не затрагивая права на images.</w:t>
      </w:r>
    </w:p>
    <w:p>
      <w:pPr>
        <w:pStyle w:val="ListNumber"/>
        <w:spacing w:after="40" w:line="269" w:lineRule="auto"/>
      </w:pPr>
      <w:r>
        <w:rPr>
          <w:rFonts w:ascii="DejaVu Sans" w:hAnsi="DejaVu Sans"/>
          <w:color w:val="1F2937"/>
          <w:sz w:val="20"/>
        </w:rPr>
        <w:t>Извлечь rights statement для каждого BSB Mon.script.sab. object; выделить те, где возможны OCR и public translation.</w:t>
      </w:r>
    </w:p>
    <w:p>
      <w:pPr>
        <w:pStyle w:val="ListNumber"/>
        <w:spacing w:after="40" w:line="269" w:lineRule="auto"/>
      </w:pPr>
      <w:r>
        <w:rPr>
          <w:rFonts w:ascii="DejaVu Sans" w:hAnsi="DejaVu Sans"/>
          <w:color w:val="1F2937"/>
          <w:sz w:val="20"/>
        </w:rPr>
        <w:t>Проверить DiCoNab terms и image credits item by item; отделить project-owned text/data от photographs.</w:t>
      </w:r>
    </w:p>
    <w:p>
      <w:pPr>
        <w:pStyle w:val="ListNumber"/>
        <w:spacing w:after="40" w:line="269" w:lineRule="auto"/>
      </w:pPr>
      <w:r>
        <w:rPr>
          <w:rFonts w:ascii="DejaVu Sans" w:hAnsi="DejaVu Sans"/>
          <w:color w:val="1F2937"/>
          <w:sz w:val="20"/>
        </w:rPr>
        <w:t>Найти старое public-domain Greek edition Martyrdom of Arethas, сопоставить BHG-number и manuscripts.</w:t>
      </w:r>
    </w:p>
    <w:p>
      <w:pPr>
        <w:pStyle w:val="ListNumber"/>
        <w:spacing w:after="40" w:line="269" w:lineRule="auto"/>
      </w:pPr>
      <w:r>
        <w:rPr>
          <w:rFonts w:ascii="DejaVu Sans" w:hAnsi="DejaVu Sans"/>
          <w:color w:val="1F2937"/>
          <w:sz w:val="20"/>
        </w:rPr>
        <w:t>Найти lawful full scan Dussaud–Macler 1901 и зафиксировать старые Safaitic copies с provenance.</w:t>
      </w:r>
    </w:p>
    <w:p>
      <w:pPr>
        <w:pStyle w:val="ListNumber"/>
        <w:spacing w:after="40" w:line="269" w:lineRule="auto"/>
      </w:pPr>
      <w:r>
        <w:rPr>
          <w:rFonts w:ascii="DejaVu Sans" w:hAnsi="DejaVu Sans"/>
          <w:color w:val="1F2937"/>
          <w:sz w:val="20"/>
        </w:rPr>
        <w:t>Найти официальный Saudi heritage/corpus record для Zuhayr 24 AH и item-level image rights.</w:t>
      </w:r>
    </w:p>
    <w:p>
      <w:pPr>
        <w:pStyle w:val="ListNumber"/>
        <w:spacing w:after="40" w:line="269" w:lineRule="auto"/>
      </w:pPr>
      <w:r>
        <w:rPr>
          <w:rFonts w:ascii="DejaVu Sans" w:hAnsi="DejaVu Sans"/>
          <w:color w:val="1F2937"/>
          <w:sz w:val="20"/>
        </w:rPr>
        <w:t>Запустить русскую переводческую очередь ToS только от clean bases: DASI CC BY, ORACC CC BY-SA, explicit-PD editions и очищенные CC BY/PDM facsimiles.</w:t>
      </w:r>
    </w:p>
    <w:p>
      <w:pPr>
        <w:pStyle w:val="Heading1"/>
        <w:keepNext/>
        <w:spacing w:before="240" w:after="140"/>
      </w:pPr>
      <w:r>
        <w:t>7. Итоговая оценка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2F6F73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65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2F6F73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EAF3F3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b/>
                <w:color w:val="1F2937"/>
                <w:sz w:val="18"/>
              </w:rPr>
              <w:t>Покрытие корпуса</w:t>
            </w:r>
          </w:p>
        </w:tc>
        <w:tc>
          <w:tcPr>
            <w:tcW w:type="dxa" w:w="65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8"/>
              </w:rPr>
              <w:t>Высокое для основных семейств и anchor inscriptions; среднее для residual Thamudic, museum image rights и полного wooden-stick rights map.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EAF3F3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b/>
                <w:color w:val="1F2937"/>
                <w:sz w:val="18"/>
              </w:rPr>
              <w:t>Доступность оригиналов</w:t>
            </w:r>
          </w:p>
        </w:tc>
        <w:tc>
          <w:tcPr>
            <w:tcW w:type="dxa" w:w="65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8"/>
              </w:rPr>
              <w:t>Хорошая через DASI, OCIANA, DiCoNab, BSB и старые факсимильные издания; неоднородная по праву повторного использования.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EAF3F3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b/>
                <w:color w:val="1F2937"/>
                <w:sz w:val="18"/>
              </w:rPr>
              <w:t>Доступность переводов</w:t>
            </w:r>
          </w:p>
        </w:tc>
        <w:tc>
          <w:tcPr>
            <w:tcW w:type="dxa" w:w="65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8"/>
              </w:rPr>
              <w:t>Английский, французский и немецкий слои богаты; современные лучшие переводы часто защищены. Полноценного открытого русского слоя не найдено.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EAF3F3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b/>
                <w:color w:val="1F2937"/>
                <w:sz w:val="18"/>
              </w:rPr>
              <w:t>Наиболее свободный слой</w:t>
            </w:r>
          </w:p>
        </w:tc>
        <w:tc>
          <w:tcPr>
            <w:tcW w:type="dxa" w:w="65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8"/>
              </w:rPr>
              <w:t>DASI record data (CC BY 4.0), ORACC (CC BY-SA 3.0), Gazetteer CC BY 4.0, Ancient Arabia CC BY-NC-SA, named CC BY OCIANA photos, explicit-PD scans and selected PG texts.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EAF3F3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b/>
                <w:color w:val="1F2937"/>
                <w:sz w:val="18"/>
              </w:rPr>
              <w:t>Главные ограничения</w:t>
            </w:r>
          </w:p>
        </w:tc>
        <w:tc>
          <w:tcPr>
            <w:tcW w:type="dxa" w:w="65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8"/>
              </w:rPr>
              <w:t>Mixed rights; photos distinct from texts; corpus-wide OCIANA licence unidentified; BSB item rights; DAI restrictive terms; protected modern critical editions.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EAF3F3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b/>
                <w:color w:val="1F2937"/>
                <w:sz w:val="18"/>
              </w:rPr>
              <w:t>Готовность для Codex</w:t>
            </w:r>
          </w:p>
        </w:tc>
        <w:tc>
          <w:tcPr>
            <w:tcW w:type="dxa" w:w="65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1D5DB"/>
              <w:left w:val="single" w:sz="4" w:color="E5E7EB"/>
              <w:bottom w:val="single" w:sz="4" w:color="D1D5DB"/>
              <w:right w:val="single" w:sz="4" w:color="E5E7EB"/>
            </w:tcBorders>
            <w:shd w:fill="F8FAFC"/>
          </w:tcPr>
          <w:p>
            <w:pPr>
              <w:spacing w:after="20" w:line="252" w:lineRule="auto"/>
            </w:pPr>
            <w:r>
              <w:rPr>
                <w:rFonts w:ascii="DejaVu Sans" w:hAnsi="DejaVu Sans"/>
                <w:color w:val="1F2937"/>
                <w:sz w:val="18"/>
              </w:rPr>
              <w:t>Да. XLSX содержит 32 требуемых поля, component-level rights scopes, evidence URLs, controlled access/coverage values, action tags and a gaps sheet. Нормализация и дедупликация могут выполняться без повторного web-discovery ядра.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3E7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6" w:color="2F6F73"/>
              <w:left w:val="single" w:sz="14" w:color="0F4C5C"/>
              <w:bottom w:val="single" w:sz="6" w:color="2F6F73"/>
              <w:right w:val="single" w:sz="6" w:color="2F6F73"/>
            </w:tcBorders>
          </w:tcPr>
          <w:p>
            <w:pPr>
              <w:spacing w:after="0" w:line="269" w:lineRule="auto"/>
            </w:pPr>
            <w:r>
              <w:rPr>
                <w:rFonts w:ascii="DejaVu Sans" w:hAnsi="DejaVu Sans"/>
                <w:b/>
                <w:color w:val="1F2937"/>
                <w:sz w:val="19"/>
              </w:rPr>
              <w:t xml:space="preserve">Вердикт — </w:t>
            </w:r>
            <w:r>
              <w:rPr>
                <w:rFonts w:ascii="DejaVu Sans" w:hAnsi="DejaVu Sans"/>
                <w:color w:val="1F2937"/>
                <w:sz w:val="19"/>
              </w:rPr>
              <w:t>Пакет пригоден как исследовательская передача Codex. Он уже различает “где читать” и “что можно переиспользовать”, но автоматическое зеркалирование должно быть whitelist-based: только records с явным rights_scope и evidence URL.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rPr>
          <w:rFonts w:ascii="DejaVu Sans" w:hAnsi="DejaVu Sans"/>
          <w:color w:val="1F2937"/>
          <w:sz w:val="21"/>
        </w:rPr>
        <w:t>В реестре 63 записей сознательно помечены RIGHTS_REVIEW_REQUIRED: это не недостаток покрытия, а защита от переноса лицензии между текстом, переводом, фотографией, scan и platform terms. Явный MIRROR_OK встречается в 9 записях; MIRROR_WITH_ATTRIBUTION — в 39; MIRROR_NONCOMMERCIAL — в 11. Эти числа являются количеством access records, а не количеством древних произведений.</w:t>
      </w:r>
    </w:p>
    <w:p>
      <w:pPr>
        <w:spacing w:before="280"/>
        <w:jc w:val="center"/>
      </w:pPr>
      <w:r>
        <w:rPr>
          <w:rFonts w:ascii="DejaVu Sans" w:hAnsi="DejaVu Sans"/>
          <w:color w:val="4B5563"/>
          <w:sz w:val="17"/>
        </w:rPr>
        <w:t>Конец отчёта  •  A40  •  проверено 2026-09-03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color w:val="4B5563"/>
        <w:sz w:val="16"/>
      </w:rPr>
      <w:t xml:space="preserve">Страница </w:t>
    </w:r>
    <w:fldSimple w:instr="PAGE">
      <w:r>
        <w:rPr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69" w:lineRule="auto"/>
      <w:jc w:val="right"/>
    </w:pPr>
    <w:r>
      <w:rPr>
        <w:rFonts w:ascii="DejaVu Sans" w:hAnsi="DejaVu Sans"/>
        <w:color w:val="4B5563"/>
        <w:sz w:val="16"/>
      </w:rPr>
      <w:t>ToS  •  A40  •  Corpus &amp; Rights Registry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0F4C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B779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2F6F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b/>
      <w:color w:val="0F4C5C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eastAsia="DejaVu Sans"/>
      <w:b/>
      <w:i/>
      <w:iCs/>
      <w:color w:val="2F6F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DejaVu Sans" w:hAnsi="DejaVu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DejaVu Sans" w:hAnsi="DejaVu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DejaVu Sans" w:hAnsi="DejaVu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asi.cnr.it/" TargetMode="External"/><Relationship Id="rId12" Type="http://schemas.openxmlformats.org/officeDocument/2006/relationships/hyperlink" Target="https://ociana.osu.edu/" TargetMode="External"/><Relationship Id="rId13" Type="http://schemas.openxmlformats.org/officeDocument/2006/relationships/hyperlink" Target="https://diconab.huma-num.fr/" TargetMode="External"/><Relationship Id="rId14" Type="http://schemas.openxmlformats.org/officeDocument/2006/relationships/hyperlink" Target="https://www.digitale-sammlungen.de/en/ancient-south-arabian-inscriptions-on-wood" TargetMode="External"/><Relationship Id="rId15" Type="http://schemas.openxmlformats.org/officeDocument/2006/relationships/hyperlink" Target="https://ancientarabia.huma-num.fr/" TargetMode="External"/><Relationship Id="rId16" Type="http://schemas.openxmlformats.org/officeDocument/2006/relationships/hyperlink" Target="https://oracc.museum.upenn.edu/ribo/babylon7/" TargetMode="External"/><Relationship Id="rId17" Type="http://schemas.openxmlformats.org/officeDocument/2006/relationships/hyperlink" Target="https://dasi.cnr.it/csai-epi-2382" TargetMode="External"/><Relationship Id="rId18" Type="http://schemas.openxmlformats.org/officeDocument/2006/relationships/hyperlink" Target="https://archive.org/details/CorpusInscriptionumSemiticarumII1" TargetMode="External"/><Relationship Id="rId19" Type="http://schemas.openxmlformats.org/officeDocument/2006/relationships/hyperlink" Target="https://www.orient-institut.org/publications/bts-beiruter-texte-und-studien/details/altsuedarabische-texte-auf-holzstabchen-epigraphische-und-kulturhistorische-untersuchungen.html" TargetMode="External"/><Relationship Id="rId20" Type="http://schemas.openxmlformats.org/officeDocument/2006/relationships/hyperlink" Target="https://krc.orient.ox.ac.uk/resources/ociana/corpora/ociana_dadanitic.pdf" TargetMode="External"/><Relationship Id="rId21" Type="http://schemas.openxmlformats.org/officeDocument/2006/relationships/hyperlink" Target="https://publications.dainst.org/books/dai/catalog/book/2176" TargetMode="External"/><Relationship Id="rId22" Type="http://schemas.openxmlformats.org/officeDocument/2006/relationships/hyperlink" Target="https://oracc.museum.upenn.edu/doc/about/licensing/index.html" TargetMode="External"/><Relationship Id="rId23" Type="http://schemas.openxmlformats.org/officeDocument/2006/relationships/hyperlink" Target="https://krc.orient.ox.ac.uk/resources/ociana/corpora/ociana_safaitic.pdf" TargetMode="External"/><Relationship Id="rId24" Type="http://schemas.openxmlformats.org/officeDocument/2006/relationships/hyperlink" Target="https://library.oapen.org/handle/20.500.12657/54655" TargetMode="External"/><Relationship Id="rId25" Type="http://schemas.openxmlformats.org/officeDocument/2006/relationships/hyperlink" Target="https://open-epihub.cnr.it/resources/8" TargetMode="External"/><Relationship Id="rId26" Type="http://schemas.openxmlformats.org/officeDocument/2006/relationships/hyperlink" Target="https://diconab.huma-num.fr/inscriptions/616" TargetMode="External"/><Relationship Id="rId27" Type="http://schemas.openxmlformats.org/officeDocument/2006/relationships/hyperlink" Target="https://archive.org/details/LaLetteraDiSimeone" TargetMode="External"/><Relationship Id="rId28" Type="http://schemas.openxmlformats.org/officeDocument/2006/relationships/hyperlink" Target="https://contentdm.lib.byu.edu/digital/collection/CUA/id/45292/" TargetMode="External"/><Relationship Id="rId29" Type="http://schemas.openxmlformats.org/officeDocument/2006/relationships/hyperlink" Target="https://doi.org/10.25446/oxford.1390536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A40</dc:title>
  <dc:subject>Западная Азия — южноаравийская, химьяритская и североаравийская эпиграфика до ислама</dc:subject>
  <dc:creator>ToS research package</dc:creator>
  <cp:keywords>ToS, A40, South Arabian, Himyar, Safaitic, Hismaic, Dadanitic, Taymanitic, Nabataean, rights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