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ToS Corpus &amp; Rights Registry</w:t>
      </w:r>
    </w:p>
    <w:p>
      <w:pPr>
        <w:pStyle w:val="Subtitle"/>
      </w:pPr>
      <w:r>
        <w:t>T2-58 · Славянская христианская книжность</w:t>
        <w:br/>
        <w:t>и византийский handoff</w:t>
      </w:r>
    </w:p>
    <w:p>
      <w:r>
        <w:rPr>
          <w:rFonts w:ascii="Liberation Sans" w:hAnsi="Liberation Sans"/>
          <w:b/>
          <w:sz w:val="22"/>
        </w:rPr>
        <w:t>65 путей доступа  |  40 рабочих корпусных единиц  |  33 записи gaps</w:t>
      </w:r>
    </w:p>
    <w:p>
      <w:pPr>
        <w:pStyle w:val="Heading1"/>
        <w:keepNext/>
        <w:pageBreakBefore w:val="0"/>
      </w:pPr>
      <w: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top"/>
            <w:shd w:fill="173F4B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7370"/>
            <w:vAlign w:val="top"/>
            <w:shd w:fill="173F4B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Мастер-строка</w:t>
            </w:r>
          </w:p>
        </w:tc>
        <w:tc>
          <w:tcPr>
            <w:tcW w:type="dxa" w:w="7370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T2-58, Таблица II. Исходный статус B; исходная уверенность 4/5.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Исторические границы</w:t>
            </w:r>
          </w:p>
        </w:tc>
        <w:tc>
          <w:tcPr>
            <w:tcW w:type="dxa" w:w="7370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Формирование IX–XII вв.; фиксация / передача IX–XV вв.; канонизация / комментарий X–XV вв.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Исходный документ</w:t>
            </w:r>
          </w:p>
        </w:tc>
        <w:tc>
          <w:tcPr>
            <w:tcW w:type="dxa" w:w="7370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ToS Deep Research_ T2-58 — Славянская христианская книжность и византийский handoff(1).docx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Дата проверки</w:t>
            </w:r>
          </w:p>
        </w:tc>
        <w:tc>
          <w:tcPr>
            <w:tcW w:type="dxa" w:w="7370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5 сентября 2026 года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Состав поставки</w:t>
            </w:r>
          </w:p>
        </w:tc>
        <w:tc>
          <w:tcPr>
            <w:tcW w:type="dxa" w:w="7370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Один XLSX: registry (32 поля) и gaps. Настоящий DOCX объясняет охват, лучшие входы и ограничения.</w:t>
            </w:r>
          </w:p>
        </w:tc>
      </w:tr>
    </w:tbl>
    <w:p>
      <w:r>
        <w:t>Ядром считалась переводно-книжная экосистема, описанная в DR: жития Кирилла и Мефодия, ранний евангельский и псалтырный фонд, литургические фрагменты, Супрасльский сборник, «О письменах», Учительное евангелие, «Шестоднев» Иоанна Экзарха, изборники и региональные свидетели. Это не попытка собрать всю средневековую литературу славян. Название, статус и три хронологических интервала мастер-строки сохранены.</w:t>
      </w:r>
    </w:p>
    <w:p>
      <w:r>
        <w:t>Поиск проводился прежде всего на русском и английском, затем по болгарским, сербским, хорватским, словенским, немецким и румынским названиям, латинским заглавиям и библиотечным сиглам. Искались произведения, редакции, конкретные рукописи и старопечатные экземпляры, транскрипции, переводы, критические издания, факсимиле и машиночитаемые пакеты.</w:t>
      </w:r>
    </w:p>
    <w:p>
      <w:r>
        <w:t>Для доступа использованы страницы университетских корпусов, национальных библиотек, академических репозиториев и издателей. Идентификация опиралась на предметные каталоги, введения цифровых изданий и специализированную текстологию. Основания прав — README/лицензии конкретных пакетов, item-level уведомления FWF, BL, eZISS, журналов и библиотек; отсутствие таких оснований оставлено как rights_unknown либо ручная проверка.</w:t>
      </w:r>
    </w:p>
    <w:p>
      <w:r>
        <w:t>Ссылки [R001] и далее — сокращённые record_id таблицы; полный префикс — T2-58-. Они ведут на проверенные источники, а не на страницы внутри XLSX. Точный объём, способ доступа, отдельно проверенная лицензия и ограничения сохранены в строках registry. Номера G001–G033 относятся к листу gaps.</w:t>
      </w:r>
    </w:p>
    <w:p>
      <w:pPr>
        <w:pStyle w:val="Caption"/>
      </w:pPr>
      <w:r>
        <w:t>Разграничение проверки: открытая карточка, заявленная кнопка доступа, фактически прочитанный текст и просмотренные изображения — разные уровни. Непроверенный JS-просмотрщик не назван постранично проверенным факсимиле.</w:t>
      </w:r>
    </w:p>
    <w:p>
      <w:pPr>
        <w:pStyle w:val="Heading1"/>
        <w:keepNext/>
        <w:pageBreakBefore/>
      </w:pPr>
      <w:r>
        <w:t>2. Охват корпуса</w:t>
      </w:r>
    </w:p>
    <w:p>
      <w:pPr>
        <w:pStyle w:val="Heading2"/>
      </w:pPr>
      <w:r>
        <w:t>2.1. Что перенесено из исходного DR</w:t>
      </w:r>
    </w:p>
    <w:p>
      <w:r>
        <w:t>Все основные названные в DR произведения и материальные якоря получили либо предметный вход в registry, либо явный пробел. Жития доступны в CCMH; евангельский канон представлен Мариинским, Зографским и Ассеманиевым текстами; Супрасльский сборник — двумя разными цифровыми путями. Учительное евангелие и «Шестоднев» найдены как конкретные транскрипции Histdict. «О письменах» не подменено созвучным поздним трактатом: для Храбра сохранён библиотечный вход в издание Вилинского.</w:t>
      </w:r>
      <w:r>
        <w:t xml:space="preserve"> </w:t>
      </w:r>
      <w:hyperlink r:id="rId11">
        <w:r>
          <w:rPr>
            <w:color w:val="246C87"/>
            <w:u w:val="single"/>
          </w:rPr>
          <w:t>[R002]</w:t>
        </w:r>
      </w:hyperlink>
      <w:r>
        <w:t xml:space="preserve">; </w:t>
      </w:r>
      <w:hyperlink r:id="rId12">
        <w:r>
          <w:rPr>
            <w:color w:val="246C87"/>
            <w:u w:val="single"/>
          </w:rPr>
          <w:t>[R003]</w:t>
        </w:r>
      </w:hyperlink>
      <w:r>
        <w:t xml:space="preserve">; </w:t>
      </w:r>
      <w:hyperlink r:id="rId13">
        <w:r>
          <w:rPr>
            <w:color w:val="246C87"/>
            <w:u w:val="single"/>
          </w:rPr>
          <w:t>[R004]</w:t>
        </w:r>
      </w:hyperlink>
      <w:r>
        <w:t xml:space="preserve">; </w:t>
      </w:r>
      <w:hyperlink r:id="rId14">
        <w:r>
          <w:rPr>
            <w:color w:val="246C87"/>
            <w:u w:val="single"/>
          </w:rPr>
          <w:t>[R005]</w:t>
        </w:r>
      </w:hyperlink>
      <w:r>
        <w:t xml:space="preserve">; </w:t>
      </w:r>
      <w:hyperlink r:id="rId15">
        <w:r>
          <w:rPr>
            <w:color w:val="246C87"/>
            <w:u w:val="single"/>
          </w:rPr>
          <w:t>[R006]</w:t>
        </w:r>
      </w:hyperlink>
      <w:r>
        <w:t xml:space="preserve">; </w:t>
      </w:r>
      <w:hyperlink r:id="rId16">
        <w:r>
          <w:rPr>
            <w:color w:val="246C87"/>
            <w:u w:val="single"/>
          </w:rPr>
          <w:t>[R007]</w:t>
        </w:r>
      </w:hyperlink>
      <w:r>
        <w:t xml:space="preserve">; </w:t>
      </w:r>
      <w:hyperlink r:id="rId17">
        <w:r>
          <w:rPr>
            <w:color w:val="246C87"/>
            <w:u w:val="single"/>
          </w:rPr>
          <w:t>[R010]</w:t>
        </w:r>
      </w:hyperlink>
      <w:r>
        <w:t xml:space="preserve">; </w:t>
      </w:r>
      <w:hyperlink r:id="rId18">
        <w:r>
          <w:rPr>
            <w:color w:val="246C87"/>
            <w:u w:val="single"/>
          </w:rPr>
          <w:t>[R011]</w:t>
        </w:r>
      </w:hyperlink>
      <w:r>
        <w:t xml:space="preserve">; </w:t>
      </w:r>
      <w:hyperlink r:id="rId19">
        <w:r>
          <w:rPr>
            <w:color w:val="246C87"/>
            <w:u w:val="single"/>
          </w:rPr>
          <w:t>[R031]</w:t>
        </w:r>
      </w:hyperlink>
    </w:p>
    <w:p>
      <w:r>
        <w:t>Енинский апостол, Мирославово евангелие и миссал 1483 представлены подтверждёнными описаниями, но не объявлены полностью доступными факсимиле. Остромирово евангелие и поздние списки Изборника 1073 имеют официальные входы в цифровые копии с оговоркой о непроверенном постраничном просмотре. Для Баницкого евангелия, полного синайского массива LOC и недоступных изображений BL оставлены конкретные поисковые задачи.</w:t>
      </w:r>
      <w:r>
        <w:t xml:space="preserve"> </w:t>
      </w:r>
      <w:hyperlink r:id="rId20">
        <w:r>
          <w:rPr>
            <w:color w:val="246C87"/>
            <w:u w:val="single"/>
          </w:rPr>
          <w:t>[R036]</w:t>
        </w:r>
      </w:hyperlink>
      <w:r>
        <w:t xml:space="preserve">; </w:t>
      </w:r>
      <w:hyperlink r:id="rId21">
        <w:r>
          <w:rPr>
            <w:color w:val="246C87"/>
            <w:u w:val="single"/>
          </w:rPr>
          <w:t>[R039]</w:t>
        </w:r>
      </w:hyperlink>
      <w:r>
        <w:t xml:space="preserve">; </w:t>
      </w:r>
      <w:hyperlink r:id="rId22">
        <w:r>
          <w:rPr>
            <w:color w:val="246C87"/>
            <w:u w:val="single"/>
          </w:rPr>
          <w:t>[R040]</w:t>
        </w:r>
      </w:hyperlink>
      <w:r>
        <w:t xml:space="preserve">; </w:t>
      </w:r>
      <w:hyperlink r:id="rId23">
        <w:r>
          <w:rPr>
            <w:color w:val="246C87"/>
            <w:u w:val="single"/>
          </w:rPr>
          <w:t>[R041]</w:t>
        </w:r>
      </w:hyperlink>
      <w:r>
        <w:t xml:space="preserve">; </w:t>
      </w:r>
      <w:hyperlink r:id="rId24">
        <w:r>
          <w:rPr>
            <w:color w:val="246C87"/>
            <w:u w:val="single"/>
          </w:rPr>
          <w:t>[R042]</w:t>
        </w:r>
      </w:hyperlink>
      <w:r>
        <w:t xml:space="preserve">; </w:t>
      </w:r>
      <w:hyperlink r:id="rId25">
        <w:r>
          <w:rPr>
            <w:color w:val="246C87"/>
            <w:u w:val="single"/>
          </w:rPr>
          <w:t>[R050]</w:t>
        </w:r>
      </w:hyperlink>
      <w:r>
        <w:t xml:space="preserve">; </w:t>
      </w:r>
      <w:hyperlink r:id="rId26">
        <w:r>
          <w:rPr>
            <w:color w:val="246C87"/>
            <w:u w:val="single"/>
          </w:rPr>
          <w:t>[R063]</w:t>
        </w:r>
      </w:hyperlink>
    </w:p>
    <w:p>
      <w:pPr>
        <w:pStyle w:val="Heading2"/>
      </w:pPr>
      <w:r>
        <w:t>2.2. Содержательные добавления веб-поиска</w:t>
      </w:r>
    </w:p>
    <w:p>
      <w:r>
        <w:t>Расширение раннего канона дало Саввину книгу, Клоцев сборник, старую и новую части Синайского требника, Псалтырь Димитрия и связанные с ней медицинские листки. Это самостоятельные свидетели или жанровые комплексы той же раннеславянской книжной среды, а не случайные тексты о христианстве. Медицинские листки включены как материально связанный вспомогательный объект и не объявлены философским трактатом.</w:t>
      </w:r>
      <w:r>
        <w:t xml:space="preserve"> </w:t>
      </w:r>
      <w:hyperlink r:id="rId27">
        <w:r>
          <w:rPr>
            <w:color w:val="246C87"/>
            <w:u w:val="single"/>
          </w:rPr>
          <w:t>[R008]</w:t>
        </w:r>
      </w:hyperlink>
      <w:r>
        <w:t xml:space="preserve">; </w:t>
      </w:r>
      <w:hyperlink r:id="rId28">
        <w:r>
          <w:rPr>
            <w:color w:val="246C87"/>
            <w:u w:val="single"/>
          </w:rPr>
          <w:t>[R043]</w:t>
        </w:r>
      </w:hyperlink>
      <w:r>
        <w:t xml:space="preserve">; </w:t>
      </w:r>
      <w:hyperlink r:id="rId29">
        <w:r>
          <w:rPr>
            <w:color w:val="246C87"/>
            <w:u w:val="single"/>
          </w:rPr>
          <w:t>[R046]</w:t>
        </w:r>
      </w:hyperlink>
      <w:r>
        <w:t xml:space="preserve">; </w:t>
      </w:r>
      <w:hyperlink r:id="rId30">
        <w:r>
          <w:rPr>
            <w:color w:val="246C87"/>
            <w:u w:val="single"/>
          </w:rPr>
          <w:t>[R058]</w:t>
        </w:r>
      </w:hyperlink>
      <w:r>
        <w:t xml:space="preserve">; </w:t>
      </w:r>
      <w:hyperlink r:id="rId31">
        <w:r>
          <w:rPr>
            <w:color w:val="246C87"/>
            <w:u w:val="single"/>
          </w:rPr>
          <w:t>[R059]</w:t>
        </w:r>
      </w:hyperlink>
      <w:r>
        <w:t xml:space="preserve">; </w:t>
      </w:r>
      <w:hyperlink r:id="rId32">
        <w:r>
          <w:rPr>
            <w:color w:val="246C87"/>
            <w:u w:val="single"/>
          </w:rPr>
          <w:t>[R060]</w:t>
        </w:r>
      </w:hyperlink>
    </w:p>
    <w:p>
      <w:r>
        <w:t>Авторские и переводческие линии расширены «Небесами» Иоанна Экзарха, похвальными словами климентовского круга, общей похвалой Кириллу и Мефодию, стихирами Мефодию, Пандектами Антиоха, поучениями Дорофея, славянским Житием Антония, Кормчей XIV титулов и Ягичевым Златоустом. Названия и конкретные свидетели взяты с предметных страниц Histdict; традиционные атрибуции не превращены в доказанное персональное авторство всех частей.</w:t>
      </w:r>
      <w:r>
        <w:t xml:space="preserve"> </w:t>
      </w:r>
      <w:hyperlink r:id="rId33">
        <w:r>
          <w:rPr>
            <w:color w:val="246C87"/>
            <w:u w:val="single"/>
          </w:rPr>
          <w:t>[R012]</w:t>
        </w:r>
      </w:hyperlink>
      <w:r>
        <w:t xml:space="preserve">; </w:t>
      </w:r>
      <w:hyperlink r:id="rId34">
        <w:r>
          <w:rPr>
            <w:color w:val="246C87"/>
            <w:u w:val="single"/>
          </w:rPr>
          <w:t>[R014]</w:t>
        </w:r>
      </w:hyperlink>
      <w:r>
        <w:t xml:space="preserve">; </w:t>
      </w:r>
      <w:hyperlink r:id="rId35">
        <w:r>
          <w:rPr>
            <w:color w:val="246C87"/>
            <w:u w:val="single"/>
          </w:rPr>
          <w:t>[R015]</w:t>
        </w:r>
      </w:hyperlink>
      <w:r>
        <w:t xml:space="preserve">; </w:t>
      </w:r>
      <w:hyperlink r:id="rId36">
        <w:r>
          <w:rPr>
            <w:color w:val="246C87"/>
            <w:u w:val="single"/>
          </w:rPr>
          <w:t>[R016]</w:t>
        </w:r>
      </w:hyperlink>
      <w:r>
        <w:t xml:space="preserve">; </w:t>
      </w:r>
      <w:hyperlink r:id="rId37">
        <w:r>
          <w:rPr>
            <w:color w:val="246C87"/>
            <w:u w:val="single"/>
          </w:rPr>
          <w:t>[R017]</w:t>
        </w:r>
      </w:hyperlink>
      <w:r>
        <w:t xml:space="preserve">; </w:t>
      </w:r>
      <w:hyperlink r:id="rId38">
        <w:r>
          <w:rPr>
            <w:color w:val="246C87"/>
            <w:u w:val="single"/>
          </w:rPr>
          <w:t>[R018]</w:t>
        </w:r>
      </w:hyperlink>
      <w:r>
        <w:t xml:space="preserve">; </w:t>
      </w:r>
      <w:hyperlink r:id="rId39">
        <w:r>
          <w:rPr>
            <w:color w:val="246C87"/>
            <w:u w:val="single"/>
          </w:rPr>
          <w:t>[R019]</w:t>
        </w:r>
      </w:hyperlink>
      <w:r>
        <w:t xml:space="preserve">; </w:t>
      </w:r>
      <w:hyperlink r:id="rId40">
        <w:r>
          <w:rPr>
            <w:color w:val="246C87"/>
            <w:u w:val="single"/>
          </w:rPr>
          <w:t>[R020]</w:t>
        </w:r>
      </w:hyperlink>
      <w:r>
        <w:t xml:space="preserve">; </w:t>
      </w:r>
      <w:hyperlink r:id="rId41">
        <w:r>
          <w:rPr>
            <w:color w:val="246C87"/>
            <w:u w:val="single"/>
          </w:rPr>
          <w:t>[R022]</w:t>
        </w:r>
      </w:hyperlink>
      <w:r>
        <w:t xml:space="preserve">; </w:t>
      </w:r>
      <w:hyperlink r:id="rId42">
        <w:r>
          <w:rPr>
            <w:color w:val="246C87"/>
            <w:u w:val="single"/>
          </w:rPr>
          <w:t>[R023]</w:t>
        </w:r>
      </w:hyperlink>
      <w:r>
        <w:t xml:space="preserve">; </w:t>
      </w:r>
      <w:hyperlink r:id="rId43">
        <w:r>
          <w:rPr>
            <w:color w:val="246C87"/>
            <w:u w:val="single"/>
          </w:rPr>
          <w:t>[R024]</w:t>
        </w:r>
      </w:hyperlink>
    </w:p>
    <w:p>
      <w:r>
        <w:t>Позднесредневековая передача представлена житиями и посланиями Евфимия, славянской хроникой Манассии и книжными приписками. Эти объекты показывают конкретные механизмы переработки переводного фонда, нормализации и сохранения — ровно те линии, которые DR намечает как продолжение узла. Октоих 1494 добавлен как предметный пример перехода того же литургического книжного фонда в печать.</w:t>
      </w:r>
      <w:r>
        <w:t xml:space="preserve"> </w:t>
      </w:r>
      <w:hyperlink r:id="rId44">
        <w:r>
          <w:rPr>
            <w:color w:val="246C87"/>
            <w:u w:val="single"/>
          </w:rPr>
          <w:t>[R025]</w:t>
        </w:r>
      </w:hyperlink>
      <w:r>
        <w:t xml:space="preserve">; </w:t>
      </w:r>
      <w:hyperlink r:id="rId45">
        <w:r>
          <w:rPr>
            <w:color w:val="246C87"/>
            <w:u w:val="single"/>
          </w:rPr>
          <w:t>[R026]</w:t>
        </w:r>
      </w:hyperlink>
      <w:r>
        <w:t xml:space="preserve">; </w:t>
      </w:r>
      <w:hyperlink r:id="rId46">
        <w:r>
          <w:rPr>
            <w:color w:val="246C87"/>
            <w:u w:val="single"/>
          </w:rPr>
          <w:t>[R027]</w:t>
        </w:r>
      </w:hyperlink>
      <w:r>
        <w:t xml:space="preserve">; </w:t>
      </w:r>
      <w:hyperlink r:id="rId47">
        <w:r>
          <w:rPr>
            <w:color w:val="246C87"/>
            <w:u w:val="single"/>
          </w:rPr>
          <w:t>[R028]</w:t>
        </w:r>
      </w:hyperlink>
      <w:r>
        <w:t xml:space="preserve">; </w:t>
      </w:r>
      <w:hyperlink r:id="rId48">
        <w:r>
          <w:rPr>
            <w:color w:val="246C87"/>
            <w:u w:val="single"/>
          </w:rPr>
          <w:t>[R029]</w:t>
        </w:r>
      </w:hyperlink>
      <w:r>
        <w:t xml:space="preserve">; </w:t>
      </w:r>
      <w:hyperlink r:id="rId49">
        <w:r>
          <w:rPr>
            <w:color w:val="246C87"/>
            <w:u w:val="single"/>
          </w:rPr>
          <w:t>[R030]</w:t>
        </w:r>
      </w:hyperlink>
      <w:r>
        <w:t xml:space="preserve">; </w:t>
      </w:r>
      <w:hyperlink r:id="rId50">
        <w:r>
          <w:rPr>
            <w:color w:val="246C87"/>
            <w:u w:val="single"/>
          </w:rPr>
          <w:t>[R048]</w:t>
        </w:r>
      </w:hyperlink>
      <w:r>
        <w:t xml:space="preserve">; </w:t>
      </w:r>
      <w:hyperlink r:id="rId51">
        <w:r>
          <w:rPr>
            <w:color w:val="246C87"/>
            <w:u w:val="single"/>
          </w:rPr>
          <w:t>[R062]</w:t>
        </w:r>
      </w:hyperlink>
    </w:p>
    <w:p>
      <w:pPr>
        <w:pStyle w:val="Heading2"/>
      </w:pPr>
      <w:r>
        <w:t>2.3. Поиск назад: установленные доноры и открытые вопросы</w:t>
      </w:r>
    </w:p>
    <w:p>
      <w:r>
        <w:t>В реестре выделены два греческих произведения-донора: «Шестоднев» Василия Великого и «Точное изложение православной веры» Иоанна Дамаскина. Для первого сохранён старый английский перевод в CCEL; для второго — старый перевод и современное греко-английское издание Norman Russell 2022 года. Связь Дамаскина с экзарховскими «Небесами» конкретна; гексамеронная связь проверяется по специализированному исследованию греческих параллелей.</w:t>
      </w:r>
      <w:r>
        <w:t xml:space="preserve"> </w:t>
      </w:r>
      <w:hyperlink r:id="rId33">
        <w:r>
          <w:rPr>
            <w:color w:val="246C87"/>
            <w:u w:val="single"/>
          </w:rPr>
          <w:t>[R012]</w:t>
        </w:r>
      </w:hyperlink>
      <w:r>
        <w:t xml:space="preserve">; </w:t>
      </w:r>
      <w:hyperlink r:id="rId52">
        <w:r>
          <w:rPr>
            <w:color w:val="246C87"/>
            <w:u w:val="single"/>
          </w:rPr>
          <w:t>[R052]</w:t>
        </w:r>
      </w:hyperlink>
      <w:r>
        <w:t xml:space="preserve">; </w:t>
      </w:r>
      <w:hyperlink r:id="rId53">
        <w:r>
          <w:rPr>
            <w:color w:val="246C87"/>
            <w:u w:val="single"/>
          </w:rPr>
          <w:t>[R053]</w:t>
        </w:r>
      </w:hyperlink>
      <w:r>
        <w:t xml:space="preserve">; </w:t>
      </w:r>
      <w:hyperlink r:id="rId54">
        <w:r>
          <w:rPr>
            <w:color w:val="246C87"/>
            <w:u w:val="single"/>
          </w:rPr>
          <w:t>[R054]</w:t>
        </w:r>
      </w:hyperlink>
      <w:r>
        <w:t xml:space="preserve">; </w:t>
      </w:r>
      <w:hyperlink r:id="rId55">
        <w:r>
          <w:rPr>
            <w:color w:val="246C87"/>
            <w:u w:val="single"/>
          </w:rPr>
          <w:t>[R061]</w:t>
        </w:r>
      </w:hyperlink>
    </w:p>
    <w:p>
      <w:r>
        <w:t>Сам факт присутствия греческого источника не доказывает, что доступное современное издание воспроизводит именно тот текст, которым пользовался славянский переводчик. Полный набор катен Учительного евангелия, произведения Севериана и прочие греческие параллели оставлены в G023–G024. Грамматический фон «О письменах» и конкретный латинский протограф Киевских листков — вопросы G025–G026: здесь намеренно не выдана гипотеза о прямом заимствовании за установленную генеалогию.</w:t>
      </w:r>
    </w:p>
    <w:p>
      <w:pPr>
        <w:pStyle w:val="Heading2"/>
      </w:pPr>
      <w:r>
        <w:t>2.4. Поиск вперёд: связь важнее даты</w:t>
      </w:r>
    </w:p>
    <w:p>
      <w:r>
        <w:t>За пределами XV века включены конкретные носители прежнего материала: список «Сказания о письменах» Константина Костенецкого 1645 года, список похвалы сорока мученикам 1598 года, копия Изборника 1073 года, изготовленная Ратшиным в 1819 году, и поздние книжные приписки. Их даты не меняют дату раннего произведения и не переводят автоматически объект в разряд «соседнего».</w:t>
      </w:r>
      <w:r>
        <w:t xml:space="preserve"> </w:t>
      </w:r>
      <w:hyperlink r:id="rId56">
        <w:r>
          <w:rPr>
            <w:color w:val="246C87"/>
            <w:u w:val="single"/>
          </w:rPr>
          <w:t>[R013]</w:t>
        </w:r>
      </w:hyperlink>
      <w:r>
        <w:t xml:space="preserve">; </w:t>
      </w:r>
      <w:hyperlink r:id="rId38">
        <w:r>
          <w:rPr>
            <w:color w:val="246C87"/>
            <w:u w:val="single"/>
          </w:rPr>
          <w:t>[R018]</w:t>
        </w:r>
      </w:hyperlink>
      <w:r>
        <w:t xml:space="preserve">; </w:t>
      </w:r>
      <w:hyperlink r:id="rId48">
        <w:r>
          <w:rPr>
            <w:color w:val="246C87"/>
            <w:u w:val="single"/>
          </w:rPr>
          <w:t>[R029]</w:t>
        </w:r>
      </w:hyperlink>
      <w:r>
        <w:t xml:space="preserve">; </w:t>
      </w:r>
      <w:hyperlink r:id="rId22">
        <w:r>
          <w:rPr>
            <w:color w:val="246C87"/>
            <w:u w:val="single"/>
          </w:rPr>
          <w:t>[R040]</w:t>
        </w:r>
      </w:hyperlink>
    </w:p>
    <w:p>
      <w:r>
        <w:t>Особенно наглядная прямая линия — Житие Петки: текст Евфимия, сопоставительный корпус поздних версий, румынская «Казания» Варлаама 1643 года и киевская книга житий Димитрия Ростовского 1689 года. Последние два издания включены не целиком как новая общая агиографическая библиотека, а как носители нужного житийного материала. Степень совпадения редакций требует текстологической сверки; портал не заменяет её.</w:t>
      </w:r>
      <w:r>
        <w:t xml:space="preserve"> </w:t>
      </w:r>
      <w:hyperlink r:id="rId50">
        <w:r>
          <w:rPr>
            <w:color w:val="246C87"/>
            <w:u w:val="single"/>
          </w:rPr>
          <w:t>[R048]</w:t>
        </w:r>
      </w:hyperlink>
      <w:r>
        <w:t xml:space="preserve">; </w:t>
      </w:r>
      <w:hyperlink r:id="rId57">
        <w:r>
          <w:rPr>
            <w:color w:val="246C87"/>
            <w:u w:val="single"/>
          </w:rPr>
          <w:t>[R049]</w:t>
        </w:r>
      </w:hyperlink>
      <w:r>
        <w:t xml:space="preserve">; </w:t>
      </w:r>
      <w:hyperlink r:id="rId58">
        <w:r>
          <w:rPr>
            <w:color w:val="246C87"/>
            <w:u w:val="single"/>
          </w:rPr>
          <w:t>[R056]</w:t>
        </w:r>
      </w:hyperlink>
      <w:r>
        <w:t xml:space="preserve">; </w:t>
      </w:r>
      <w:hyperlink r:id="rId59">
        <w:r>
          <w:rPr>
            <w:color w:val="246C87"/>
            <w:u w:val="single"/>
          </w:rPr>
          <w:t>[R057]</w:t>
        </w:r>
      </w:hyperlink>
    </w:p>
    <w:p>
      <w:r>
        <w:t>Брентон 1851 включён по иной, но столь же конкретной причине: его английский перевод Септуагинты используется как параллель в цифровой Синайской псалтыри LMU. Он не назван переводом со старославянского. Фрейзингенские отрывки оставлены boundary: это сопоставимый ранний литургико-покаянный корпус, помогающий не смешивать всю славянскую письменность со строгим OCS-каноном; прямое происхождение от миссии братьев не утверждается.</w:t>
      </w:r>
      <w:r>
        <w:t xml:space="preserve"> </w:t>
      </w:r>
      <w:hyperlink r:id="rId60">
        <w:r>
          <w:rPr>
            <w:color w:val="246C87"/>
            <w:u w:val="single"/>
          </w:rPr>
          <w:t>[R047]</w:t>
        </w:r>
      </w:hyperlink>
      <w:r>
        <w:t xml:space="preserve">; </w:t>
      </w:r>
      <w:hyperlink r:id="rId61">
        <w:r>
          <w:rPr>
            <w:color w:val="246C87"/>
            <w:u w:val="single"/>
          </w:rPr>
          <w:t>[R055]</w:t>
        </w:r>
      </w:hyperlink>
      <w:r>
        <w:t xml:space="preserve">; </w:t>
      </w:r>
      <w:hyperlink r:id="rId62">
        <w:r>
          <w:rPr>
            <w:color w:val="246C87"/>
            <w:u w:val="single"/>
          </w:rPr>
          <w:t>[R065]</w:t>
        </w:r>
      </w:hyperlink>
    </w:p>
    <w:p>
      <w:pPr>
        <w:pStyle w:val="Heading2"/>
      </w:pPr>
      <w:r>
        <w:t>2.5. Как читать количественные итоги</w:t>
      </w:r>
    </w:p>
    <w:p>
      <w:r>
        <w:t>65 строк — число практически различимых путей доступа. Для оценки текстового охвата использована рабочая группировка в 40 единиц: отдельные произведения, именованные сборники и библейские корпусные комплексы. Евангельские рукописи сгруппированы как свидетели одного корпуса; две синайские псалтыри не посчитаны двумя разными Псалтирями; переводы житий не увеличивают число житий. Это не окончательная дедупликация и не утверждение о сорока непересекающихся исторических сочинениях.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134"/>
        <w:gridCol w:w="5102"/>
      </w:tblGrid>
      <w:tr>
        <w:trPr>
          <w:cantSplit/>
          <w:tblHeader/>
        </w:trPr>
        <w:tc>
          <w:tcPr>
            <w:tcW w:type="dxa" w:w="3402"/>
            <w:vAlign w:val="top"/>
            <w:shd w:fill="173F4B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Релевантность</w:t>
            </w:r>
          </w:p>
        </w:tc>
        <w:tc>
          <w:tcPr>
            <w:tcW w:type="dxa" w:w="1134"/>
            <w:vAlign w:val="top"/>
            <w:shd w:fill="173F4B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Записей</w:t>
            </w:r>
          </w:p>
        </w:tc>
        <w:tc>
          <w:tcPr>
            <w:tcW w:type="dxa" w:w="5102"/>
            <w:vAlign w:val="top"/>
            <w:shd w:fill="173F4B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Практический смысл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core</w:t>
            </w:r>
          </w:p>
        </w:tc>
        <w:tc>
          <w:tcPr>
            <w:tcW w:type="dxa" w:w="1134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22</w:t>
            </w:r>
          </w:p>
        </w:tc>
        <w:tc>
          <w:tcPr>
            <w:tcW w:type="dxa" w:w="5102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Основные тексты и свидетели мастер-строки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same_corpus_or_tradition</w:t>
            </w:r>
          </w:p>
        </w:tc>
        <w:tc>
          <w:tcPr>
            <w:tcW w:type="dxa" w:w="1134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18</w:t>
            </w:r>
          </w:p>
        </w:tc>
        <w:tc>
          <w:tcPr>
            <w:tcW w:type="dxa" w:w="5102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Прямые члены авторских, жанровых и рукописных линий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antecedent</w:t>
            </w:r>
          </w:p>
        </w:tc>
        <w:tc>
          <w:tcPr>
            <w:tcW w:type="dxa" w:w="1134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3</w:t>
            </w:r>
          </w:p>
        </w:tc>
        <w:tc>
          <w:tcPr>
            <w:tcW w:type="dxa" w:w="5102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Два греческих произведения, три пути доступа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continuation</w:t>
            </w:r>
          </w:p>
        </w:tc>
        <w:tc>
          <w:tcPr>
            <w:tcW w:type="dxa" w:w="1134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4</w:t>
            </w:r>
          </w:p>
        </w:tc>
        <w:tc>
          <w:tcPr>
            <w:tcW w:type="dxa" w:w="5102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Позднесредневековое развитие книжной традиции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commentary_or_reception</w:t>
            </w:r>
          </w:p>
        </w:tc>
        <w:tc>
          <w:tcPr>
            <w:tcW w:type="dxa" w:w="1134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2</w:t>
            </w:r>
          </w:p>
        </w:tc>
        <w:tc>
          <w:tcPr>
            <w:tcW w:type="dxa" w:w="5102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Рефлексия над письмом и житийная переработка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transmission_or_preservation</w:t>
            </w:r>
          </w:p>
        </w:tc>
        <w:tc>
          <w:tcPr>
            <w:tcW w:type="dxa" w:w="1134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9</w:t>
            </w:r>
          </w:p>
        </w:tc>
        <w:tc>
          <w:tcPr>
            <w:tcW w:type="dxa" w:w="5102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Списки, переводы, компиляции, печать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supporting / boundary</w:t>
            </w:r>
          </w:p>
        </w:tc>
        <w:tc>
          <w:tcPr>
            <w:tcW w:type="dxa" w:w="1134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3</w:t>
            </w:r>
          </w:p>
        </w:tc>
        <w:tc>
          <w:tcPr>
            <w:tcW w:type="dxa" w:w="5102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Медицинские листки, словарь, Фрейзингенские отрывки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infrastructure / secondary_navigation</w:t>
            </w:r>
          </w:p>
        </w:tc>
        <w:tc>
          <w:tcPr>
            <w:tcW w:type="dxa" w:w="1134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4</w:t>
            </w:r>
          </w:p>
        </w:tc>
        <w:tc>
          <w:tcPr>
            <w:tcW w:type="dxa" w:w="5102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Два пакета данных и два узких текстологических ориентира</w:t>
            </w:r>
          </w:p>
        </w:tc>
      </w:tr>
    </w:tbl>
    <w:p>
      <w:r>
        <w:t>54 записи помечены free_full_read, 24 — free_download; режимы пересекаются, а часть доступа заявлена самим учреждением без успешной проверки просмотрщика. Эти числа нельзя читать как «54 полностью прочитанных произведения». Сохранены также восемь metadata_only, два institutional_access, один preview_or_snippet и один purchase. Таблица не содержит отдельного подтверждённого режима Controlled Digital Lending: такой доступ не был установлен.</w:t>
      </w:r>
    </w:p>
    <w:p>
      <w:pPr>
        <w:pStyle w:val="Heading1"/>
        <w:keepNext/>
        <w:pageBreakBefore w:val="0"/>
      </w:pPr>
      <w:r>
        <w:t>3. Лучшие пути доступа</w:t>
      </w:r>
    </w:p>
    <w:p>
      <w:pPr>
        <w:pStyle w:val="Heading2"/>
      </w:pPr>
      <w:r>
        <w:t>3.1. Жития Кирилла и Мефодия; апология письма</w:t>
      </w:r>
    </w:p>
    <w:p>
      <w:r>
        <w:t>Для непосредственного чтения славянского текста житий наиболее удобен CCMH: отдельные страницы дают состав, базовое издание и скачиваемую транскрипцию. Пакет полезен и для анализа, но современный критический слой Fontes 1960 нужно отличать от свободного средневекового текста. Само издание Grivec–Tomšič имеет отдельную официальную страницу HRČAK и кнопку PDF; запрос файла вернул 418, поэтому он сохранён как заявленный издателем путь, а не как просмотренная в этой сессии книга.</w:t>
      </w:r>
      <w:r>
        <w:t xml:space="preserve"> </w:t>
      </w:r>
      <w:hyperlink r:id="rId63">
        <w:r>
          <w:rPr>
            <w:color w:val="246C87"/>
            <w:u w:val="single"/>
          </w:rPr>
          <w:t>[R001]</w:t>
        </w:r>
      </w:hyperlink>
      <w:r>
        <w:t xml:space="preserve">; </w:t>
      </w:r>
      <w:hyperlink r:id="rId11">
        <w:r>
          <w:rPr>
            <w:color w:val="246C87"/>
            <w:u w:val="single"/>
          </w:rPr>
          <w:t>[R002]</w:t>
        </w:r>
      </w:hyperlink>
      <w:r>
        <w:t xml:space="preserve">; </w:t>
      </w:r>
      <w:hyperlink r:id="rId12">
        <w:r>
          <w:rPr>
            <w:color w:val="246C87"/>
            <w:u w:val="single"/>
          </w:rPr>
          <w:t>[R003]</w:t>
        </w:r>
      </w:hyperlink>
      <w:r>
        <w:t xml:space="preserve">; </w:t>
      </w:r>
      <w:hyperlink r:id="rId64">
        <w:r>
          <w:rPr>
            <w:color w:val="246C87"/>
            <w:u w:val="single"/>
          </w:rPr>
          <w:t>[R032]</w:t>
        </w:r>
      </w:hyperlink>
    </w:p>
    <w:p>
      <w:r>
        <w:t>Для первого знакомства на английском надёжен учебный отрывок UT Austin: оригинал, перевод и разбор действительно читаются, но это только эпизод о моравском запросе. Полный перевод Kantor–White 1976 идентифицирован в HathiTrust; доступ в данном режиме ограничен, и он не объявлен открытой книгой. Русские переводы БЛДР оставлены в G013 из-за ошибки 502 при открытии институциональной страницы.</w:t>
      </w:r>
      <w:r>
        <w:t xml:space="preserve"> </w:t>
      </w:r>
      <w:hyperlink r:id="rId65">
        <w:r>
          <w:rPr>
            <w:color w:val="246C87"/>
            <w:u w:val="single"/>
          </w:rPr>
          <w:t>[R033]</w:t>
        </w:r>
      </w:hyperlink>
      <w:r>
        <w:t xml:space="preserve">; </w:t>
      </w:r>
      <w:hyperlink r:id="rId66">
        <w:r>
          <w:rPr>
            <w:color w:val="246C87"/>
            <w:u w:val="single"/>
          </w:rPr>
          <w:t>[R064]</w:t>
        </w:r>
      </w:hyperlink>
    </w:p>
    <w:p>
      <w:r>
        <w:t>Для Храбра сохраняется более узкий, но законный маршрут: Вилинский 1901 в Президентской библиотеке, с доступом к электронной копии через читальные залы. Статья Roland Marti помогает найти и различить издания и рукописные версии. Ни позднее «Сказание» Костенецкого, ни общая страница о славянском алфавите не заменяют искомый текст «О письменах».</w:t>
      </w:r>
      <w:r>
        <w:t xml:space="preserve"> </w:t>
      </w:r>
      <w:hyperlink r:id="rId19">
        <w:r>
          <w:rPr>
            <w:color w:val="246C87"/>
            <w:u w:val="single"/>
          </w:rPr>
          <w:t>[R031]</w:t>
        </w:r>
      </w:hyperlink>
      <w:r>
        <w:t xml:space="preserve">; </w:t>
      </w:r>
      <w:hyperlink r:id="rId67">
        <w:r>
          <w:rPr>
            <w:color w:val="246C87"/>
            <w:u w:val="single"/>
          </w:rPr>
          <w:t>[R035]</w:t>
        </w:r>
      </w:hyperlink>
      <w:r>
        <w:t xml:space="preserve">; </w:t>
      </w:r>
      <w:hyperlink r:id="rId56">
        <w:r>
          <w:rPr>
            <w:color w:val="246C87"/>
            <w:u w:val="single"/>
          </w:rPr>
          <w:t>[R013]</w:t>
        </w:r>
      </w:hyperlink>
    </w:p>
    <w:p>
      <w:pPr>
        <w:pStyle w:val="Heading2"/>
      </w:pPr>
      <w:r>
        <w:t>3.2. Учительное евангелие и Иоанн Экзарх</w:t>
      </w:r>
    </w:p>
    <w:p>
      <w:r>
        <w:t>Основной бесплатный вход — Histdict: Учительное евангелие по Син. 262, включая Азбучную молитву, пролог и гомилии; «Шестоднев» по списку 1263 года; «Небеса» по конкретному позднейшему свидетелю. Для «Шестоднева» две страницы частей сведены в одну запись: это одна версия и один способ чтения, а не два произведения. Сами транскрипции доступны, но открытой лицензии для зеркалирования не найдено.</w:t>
      </w:r>
      <w:r>
        <w:t xml:space="preserve"> </w:t>
      </w:r>
      <w:hyperlink r:id="rId17">
        <w:r>
          <w:rPr>
            <w:color w:val="246C87"/>
            <w:u w:val="single"/>
          </w:rPr>
          <w:t>[R010]</w:t>
        </w:r>
      </w:hyperlink>
      <w:r>
        <w:t xml:space="preserve">; </w:t>
      </w:r>
      <w:hyperlink r:id="rId18">
        <w:r>
          <w:rPr>
            <w:color w:val="246C87"/>
            <w:u w:val="single"/>
          </w:rPr>
          <w:t>[R011]</w:t>
        </w:r>
      </w:hyperlink>
      <w:r>
        <w:t xml:space="preserve">; </w:t>
      </w:r>
      <w:hyperlink r:id="rId33">
        <w:r>
          <w:rPr>
            <w:color w:val="246C87"/>
            <w:u w:val="single"/>
          </w:rPr>
          <w:t>[R012]</w:t>
        </w:r>
      </w:hyperlink>
    </w:p>
    <w:p>
      <w:r>
        <w:t>Староболгарско-греческий словарь Учительного евангелия 2024 года — лучший найденный предметный инструмент для поиска греческих соответствий; это не подмена самого евангельского сборника. Для научной работы со «Шестодневом» существенны Aitzetmüller 1958–1975, Баранкова–Мильков 2001 и другие названные в специализированном исследовании издания. Полный законный цифровой вход к ним не подтверждён; библиография сохранена в G012, а не выдана за доступный файл.</w:t>
      </w:r>
      <w:r>
        <w:t xml:space="preserve"> </w:t>
      </w:r>
      <w:hyperlink r:id="rId68">
        <w:r>
          <w:rPr>
            <w:color w:val="246C87"/>
            <w:u w:val="single"/>
          </w:rPr>
          <w:t>[R034]</w:t>
        </w:r>
      </w:hyperlink>
      <w:r>
        <w:t xml:space="preserve">; </w:t>
      </w:r>
      <w:hyperlink r:id="rId55">
        <w:r>
          <w:rPr>
            <w:color w:val="246C87"/>
            <w:u w:val="single"/>
          </w:rPr>
          <w:t>[R061]</w:t>
        </w:r>
      </w:hyperlink>
    </w:p>
    <w:p>
      <w:pPr>
        <w:pStyle w:val="Heading2"/>
      </w:pPr>
      <w:r>
        <w:t>3.3. Ранние евангельские и гомилетические свидетели</w:t>
      </w:r>
    </w:p>
    <w:p>
      <w:r>
        <w:t>Для машиночитаемого оригинального слоя предпочтителен CCMH: Мариинское, Зографское, Ассеманиево евангелия, Супрасльский сборник и Саввина книга. Отдельные страницы важнее общей ссылки на архив: они раскрывают историческое издание, исправления, непроверенные места и способ нумерации. Свободная транскрипция не восполняет отсутствующее начало Мариинского текста и не делает рабочую Саввину транскрипцию новым критическим изданием.</w:t>
      </w:r>
      <w:r>
        <w:t xml:space="preserve"> </w:t>
      </w:r>
      <w:hyperlink r:id="rId13">
        <w:r>
          <w:rPr>
            <w:color w:val="246C87"/>
            <w:u w:val="single"/>
          </w:rPr>
          <w:t>[R004]</w:t>
        </w:r>
      </w:hyperlink>
      <w:r>
        <w:t xml:space="preserve">; </w:t>
      </w:r>
      <w:hyperlink r:id="rId14">
        <w:r>
          <w:rPr>
            <w:color w:val="246C87"/>
            <w:u w:val="single"/>
          </w:rPr>
          <w:t>[R005]</w:t>
        </w:r>
      </w:hyperlink>
      <w:r>
        <w:t xml:space="preserve">; </w:t>
      </w:r>
      <w:hyperlink r:id="rId15">
        <w:r>
          <w:rPr>
            <w:color w:val="246C87"/>
            <w:u w:val="single"/>
          </w:rPr>
          <w:t>[R006]</w:t>
        </w:r>
      </w:hyperlink>
      <w:r>
        <w:t xml:space="preserve">; </w:t>
      </w:r>
      <w:hyperlink r:id="rId16">
        <w:r>
          <w:rPr>
            <w:color w:val="246C87"/>
            <w:u w:val="single"/>
          </w:rPr>
          <w:t>[R007]</w:t>
        </w:r>
      </w:hyperlink>
      <w:r>
        <w:t xml:space="preserve">; </w:t>
      </w:r>
      <w:hyperlink r:id="rId27">
        <w:r>
          <w:rPr>
            <w:color w:val="246C87"/>
            <w:u w:val="single"/>
          </w:rPr>
          <w:t>[R008]</w:t>
        </w:r>
      </w:hyperlink>
    </w:p>
    <w:p>
      <w:r>
        <w:t>Дополнительный вход в Супрасльский материал — цифровое издание Obdurodon. Для рукописного облика Мариинского и Остромирова евангелий сохранены библиотечные карточки с переходом к цифровой копии. Для Клоцева сборника есть скан Копитара 1836 года с проверенным происхождением из библиотечного экземпляра; он покрывает опубликованные 12 листов, а не автоматически весь современно известный состав памятника. Автоматический OCR этого скана требует сверки.</w:t>
      </w:r>
      <w:r>
        <w:t xml:space="preserve"> </w:t>
      </w:r>
      <w:hyperlink r:id="rId69">
        <w:r>
          <w:rPr>
            <w:color w:val="246C87"/>
            <w:u w:val="single"/>
          </w:rPr>
          <w:t>[R037]</w:t>
        </w:r>
      </w:hyperlink>
      <w:r>
        <w:t xml:space="preserve">; </w:t>
      </w:r>
      <w:hyperlink r:id="rId70">
        <w:r>
          <w:rPr>
            <w:color w:val="246C87"/>
            <w:u w:val="single"/>
          </w:rPr>
          <w:t>[R038]</w:t>
        </w:r>
      </w:hyperlink>
      <w:r>
        <w:t xml:space="preserve">; </w:t>
      </w:r>
      <w:hyperlink r:id="rId25">
        <w:r>
          <w:rPr>
            <w:color w:val="246C87"/>
            <w:u w:val="single"/>
          </w:rPr>
          <w:t>[R050]</w:t>
        </w:r>
      </w:hyperlink>
      <w:r>
        <w:t xml:space="preserve">; </w:t>
      </w:r>
      <w:hyperlink r:id="rId32">
        <w:r>
          <w:rPr>
            <w:color w:val="246C87"/>
            <w:u w:val="single"/>
          </w:rPr>
          <w:t>[R060]</w:t>
        </w:r>
      </w:hyperlink>
    </w:p>
    <w:p>
      <w:pPr>
        <w:pStyle w:val="Heading2"/>
      </w:pPr>
      <w:r>
        <w:t>3.4. Синай: два псалтырных свидетеля и требник</w:t>
      </w:r>
    </w:p>
    <w:p>
      <w:r>
        <w:t>Наиболее свободный и научно содержательный найденный комплекс — Psalterium Demetrii Sinaitici et Folia Medicinalia, издание 2021 года в FWF E-Book Library. Это критический текст с открытой лицензией CC BY 4.0, а не только старый скан. С ним связаны отдельно описанные цветное факсимиле, мультиспектральные изображения и медицинские листки. Раздельные строки оправданы различным содержанием и качеством, а не искусственным дроблением страниц одного ZIP.</w:t>
      </w:r>
      <w:r>
        <w:t xml:space="preserve"> </w:t>
      </w:r>
      <w:hyperlink r:id="rId28">
        <w:r>
          <w:rPr>
            <w:color w:val="246C87"/>
            <w:u w:val="single"/>
          </w:rPr>
          <w:t>[R043]</w:t>
        </w:r>
      </w:hyperlink>
      <w:r>
        <w:t xml:space="preserve">; </w:t>
      </w:r>
      <w:hyperlink r:id="rId71">
        <w:r>
          <w:rPr>
            <w:color w:val="246C87"/>
            <w:u w:val="single"/>
          </w:rPr>
          <w:t>[R044]</w:t>
        </w:r>
      </w:hyperlink>
      <w:r>
        <w:t xml:space="preserve">; </w:t>
      </w:r>
      <w:hyperlink r:id="rId72">
        <w:r>
          <w:rPr>
            <w:color w:val="246C87"/>
            <w:u w:val="single"/>
          </w:rPr>
          <w:t>[R045]</w:t>
        </w:r>
      </w:hyperlink>
      <w:r>
        <w:t xml:space="preserve">; </w:t>
      </w:r>
      <w:hyperlink r:id="rId29">
        <w:r>
          <w:rPr>
            <w:color w:val="246C87"/>
            <w:u w:val="single"/>
          </w:rPr>
          <w:t>[R046]</w:t>
        </w:r>
      </w:hyperlink>
    </w:p>
    <w:p>
      <w:r>
        <w:t>Размеры приложений и их проверка различаются. PDF критического издания открыт; крупный RGB-файл и часть изображений не удалось полноценно проверить инструментом. В таблице это отделено от установленной item-level лицензии и от заявления репозитория о скачивании. Немецкий перевод в издании относится к дополнительным и медицинским текстам; полный немецкий перевод всей Псалтири не обещается.</w:t>
      </w:r>
      <w:r>
        <w:t xml:space="preserve"> </w:t>
      </w:r>
      <w:hyperlink r:id="rId28">
        <w:r>
          <w:rPr>
            <w:color w:val="246C87"/>
            <w:u w:val="single"/>
          </w:rPr>
          <w:t>[R043]</w:t>
        </w:r>
      </w:hyperlink>
      <w:r>
        <w:t xml:space="preserve">; </w:t>
      </w:r>
      <w:hyperlink r:id="rId71">
        <w:r>
          <w:rPr>
            <w:color w:val="246C87"/>
            <w:u w:val="single"/>
          </w:rPr>
          <w:t>[R044]</w:t>
        </w:r>
      </w:hyperlink>
      <w:r>
        <w:t xml:space="preserve">; </w:t>
      </w:r>
      <w:hyperlink r:id="rId72">
        <w:r>
          <w:rPr>
            <w:color w:val="246C87"/>
            <w:u w:val="single"/>
          </w:rPr>
          <w:t>[R045]</w:t>
        </w:r>
      </w:hyperlink>
      <w:r>
        <w:t xml:space="preserve">; </w:t>
      </w:r>
      <w:hyperlink r:id="rId29">
        <w:r>
          <w:rPr>
            <w:color w:val="246C87"/>
            <w:u w:val="single"/>
          </w:rPr>
          <w:t>[R046]</w:t>
        </w:r>
      </w:hyperlink>
    </w:p>
    <w:p>
      <w:r>
        <w:t>Старая Синайская псалтырь, Sin. Slav. 38/O + 2/N, — другой свидетель, чем Димитриева NF 3. Для неё наиболее полезна цифровая транскрипция LMU со сведениями о базовых изданиях, разметкой и английской параллелью. Для Синайского требника найден официальный депозит издания Нахтигала 1941–1942 и отдельное описание новых 28 листов. Старое издание не включает автоматически находки 1975 года.</w:t>
      </w:r>
      <w:r>
        <w:t xml:space="preserve"> </w:t>
      </w:r>
      <w:hyperlink r:id="rId60">
        <w:r>
          <w:rPr>
            <w:color w:val="246C87"/>
            <w:u w:val="single"/>
          </w:rPr>
          <w:t>[R047]</w:t>
        </w:r>
      </w:hyperlink>
      <w:r>
        <w:t xml:space="preserve">; </w:t>
      </w:r>
      <w:hyperlink r:id="rId30">
        <w:r>
          <w:rPr>
            <w:color w:val="246C87"/>
            <w:u w:val="single"/>
          </w:rPr>
          <w:t>[R058]</w:t>
        </w:r>
      </w:hyperlink>
      <w:r>
        <w:t xml:space="preserve">; </w:t>
      </w:r>
      <w:hyperlink r:id="rId31">
        <w:r>
          <w:rPr>
            <w:color w:val="246C87"/>
            <w:u w:val="single"/>
          </w:rPr>
          <w:t>[R059]</w:t>
        </w:r>
      </w:hyperlink>
    </w:p>
    <w:p>
      <w:pPr>
        <w:pStyle w:val="Heading2"/>
      </w:pPr>
      <w:r>
        <w:t>3.5. Региональные редакции, изборники и поздняя передача</w:t>
      </w:r>
    </w:p>
    <w:p>
      <w:r>
        <w:t>Для изборников важно начинать с даты конкретного предмета. Найденный список Изборника 1073 в РГБ относится к XV веку; копия Ратшина — к 1819 году. Оба полезны как носители того же сборника, но не заменяют факсимиле кодекса XI века. Изборник 1076 представлен карточкой современного научного издания: это bibliographic access, не бесплатный полный текст.</w:t>
      </w:r>
      <w:r>
        <w:t xml:space="preserve"> </w:t>
      </w:r>
      <w:hyperlink r:id="rId21">
        <w:r>
          <w:rPr>
            <w:color w:val="246C87"/>
            <w:u w:val="single"/>
          </w:rPr>
          <w:t>[R039]</w:t>
        </w:r>
      </w:hyperlink>
      <w:r>
        <w:t xml:space="preserve">; </w:t>
      </w:r>
      <w:hyperlink r:id="rId22">
        <w:r>
          <w:rPr>
            <w:color w:val="246C87"/>
            <w:u w:val="single"/>
          </w:rPr>
          <w:t>[R040]</w:t>
        </w:r>
      </w:hyperlink>
      <w:r>
        <w:t xml:space="preserve">; </w:t>
      </w:r>
      <w:hyperlink r:id="rId73">
        <w:r>
          <w:rPr>
            <w:color w:val="246C87"/>
            <w:u w:val="single"/>
          </w:rPr>
          <w:t>[R051]</w:t>
        </w:r>
      </w:hyperlink>
    </w:p>
    <w:p>
      <w:r>
        <w:t>Для климентовского круга и переводной аскетико-правовой книжности удобны предметные транскрипции Histdict. Евфимиевы жития и письма, Манассия и приписки дают прямой выход в поздние редакции. У этих ресурсов лучшее установленное действие ToS — внешняя ссылка и чтение; массовую выгрузку, OCR, публичную индексацию и embeddings нельзя автоматически вывести из наличия HTML.</w:t>
      </w:r>
      <w:r>
        <w:t xml:space="preserve"> </w:t>
      </w:r>
      <w:hyperlink r:id="rId34">
        <w:r>
          <w:rPr>
            <w:color w:val="246C87"/>
            <w:u w:val="single"/>
          </w:rPr>
          <w:t>[R014]</w:t>
        </w:r>
      </w:hyperlink>
      <w:r>
        <w:t xml:space="preserve">; </w:t>
      </w:r>
      <w:hyperlink r:id="rId35">
        <w:r>
          <w:rPr>
            <w:color w:val="246C87"/>
            <w:u w:val="single"/>
          </w:rPr>
          <w:t>[R015]</w:t>
        </w:r>
      </w:hyperlink>
      <w:r>
        <w:t xml:space="preserve">; </w:t>
      </w:r>
      <w:hyperlink r:id="rId39">
        <w:r>
          <w:rPr>
            <w:color w:val="246C87"/>
            <w:u w:val="single"/>
          </w:rPr>
          <w:t>[R019]</w:t>
        </w:r>
      </w:hyperlink>
      <w:r>
        <w:t xml:space="preserve">; </w:t>
      </w:r>
      <w:hyperlink r:id="rId40">
        <w:r>
          <w:rPr>
            <w:color w:val="246C87"/>
            <w:u w:val="single"/>
          </w:rPr>
          <w:t>[R020]</w:t>
        </w:r>
      </w:hyperlink>
      <w:r>
        <w:t xml:space="preserve">; </w:t>
      </w:r>
      <w:hyperlink r:id="rId41">
        <w:r>
          <w:rPr>
            <w:color w:val="246C87"/>
            <w:u w:val="single"/>
          </w:rPr>
          <w:t>[R022]</w:t>
        </w:r>
      </w:hyperlink>
      <w:r>
        <w:t xml:space="preserve">; </w:t>
      </w:r>
      <w:hyperlink r:id="rId43">
        <w:r>
          <w:rPr>
            <w:color w:val="246C87"/>
            <w:u w:val="single"/>
          </w:rPr>
          <w:t>[R024]</w:t>
        </w:r>
      </w:hyperlink>
      <w:r>
        <w:t xml:space="preserve">; </w:t>
      </w:r>
      <w:hyperlink r:id="rId44">
        <w:r>
          <w:rPr>
            <w:color w:val="246C87"/>
            <w:u w:val="single"/>
          </w:rPr>
          <w:t>[R025]</w:t>
        </w:r>
      </w:hyperlink>
      <w:r>
        <w:t xml:space="preserve">; </w:t>
      </w:r>
      <w:hyperlink r:id="rId45">
        <w:r>
          <w:rPr>
            <w:color w:val="246C87"/>
            <w:u w:val="single"/>
          </w:rPr>
          <w:t>[R026]</w:t>
        </w:r>
      </w:hyperlink>
      <w:r>
        <w:t xml:space="preserve">; </w:t>
      </w:r>
      <w:hyperlink r:id="rId46">
        <w:r>
          <w:rPr>
            <w:color w:val="246C87"/>
            <w:u w:val="single"/>
          </w:rPr>
          <w:t>[R027]</w:t>
        </w:r>
      </w:hyperlink>
      <w:r>
        <w:t xml:space="preserve">; </w:t>
      </w:r>
      <w:hyperlink r:id="rId47">
        <w:r>
          <w:rPr>
            <w:color w:val="246C87"/>
            <w:u w:val="single"/>
          </w:rPr>
          <w:t>[R028]</w:t>
        </w:r>
      </w:hyperlink>
      <w:r>
        <w:t xml:space="preserve">; </w:t>
      </w:r>
      <w:hyperlink r:id="rId48">
        <w:r>
          <w:rPr>
            <w:color w:val="246C87"/>
            <w:u w:val="single"/>
          </w:rPr>
          <w:t>[R029]</w:t>
        </w:r>
      </w:hyperlink>
      <w:r>
        <w:t xml:space="preserve">; </w:t>
      </w:r>
      <w:hyperlink r:id="rId49">
        <w:r>
          <w:rPr>
            <w:color w:val="246C87"/>
            <w:u w:val="single"/>
          </w:rPr>
          <w:t>[R030]</w:t>
        </w:r>
      </w:hyperlink>
    </w:p>
    <w:p>
      <w:r>
        <w:t>Для Жития Петки LMU полезен как сравнительный вход, а библиотечные объекты Варлаама 1643 и Димитрия Ростовского 1689 — как конкретные поздние носители. У издания Варлаама репозиторий перечисляет четыре PDF; попытка файла дала инструментальную ошибку. У ÖNB карточка и rights statement открыты, но полнота просмотрщика не проверена. Поэтому эти маршруты сохранены с ограниченной технической уверенностью, без обещания готового локального корпуса.</w:t>
      </w:r>
      <w:r>
        <w:t xml:space="preserve"> </w:t>
      </w:r>
      <w:hyperlink r:id="rId50">
        <w:r>
          <w:rPr>
            <w:color w:val="246C87"/>
            <w:u w:val="single"/>
          </w:rPr>
          <w:t>[R048]</w:t>
        </w:r>
      </w:hyperlink>
      <w:r>
        <w:t xml:space="preserve">; </w:t>
      </w:r>
      <w:hyperlink r:id="rId57">
        <w:r>
          <w:rPr>
            <w:color w:val="246C87"/>
            <w:u w:val="single"/>
          </w:rPr>
          <w:t>[R049]</w:t>
        </w:r>
      </w:hyperlink>
      <w:r>
        <w:t xml:space="preserve">; </w:t>
      </w:r>
      <w:hyperlink r:id="rId58">
        <w:r>
          <w:rPr>
            <w:color w:val="246C87"/>
            <w:u w:val="single"/>
          </w:rPr>
          <w:t>[R056]</w:t>
        </w:r>
      </w:hyperlink>
      <w:r>
        <w:t xml:space="preserve">; </w:t>
      </w:r>
      <w:hyperlink r:id="rId59">
        <w:r>
          <w:rPr>
            <w:color w:val="246C87"/>
            <w:u w:val="single"/>
          </w:rPr>
          <w:t>[R057]</w:t>
        </w:r>
      </w:hyperlink>
    </w:p>
    <w:p>
      <w:pPr>
        <w:pStyle w:val="Heading2"/>
      </w:pPr>
      <w:r>
        <w:t>3.6. Западная ветвь и ранняя печать</w:t>
      </w:r>
    </w:p>
    <w:p>
      <w:r>
        <w:t>Фрейзингенские отрывки в eZISS дают редкое сочетание оригинальных транскрипций, переводов, TEI и раздельного уведомления о правах. Это лучший найденный многоязычный критический вход для данного пограничного комплекса. Для миссала 1483 подтверждено университетское описание, но актуальный NSK-файл не получен. Для Октоиха 1494 найдена конкретная карточка РНБ с цифровым входом; издание неполно и содержит поздние рукописные восполнения.</w:t>
      </w:r>
      <w:r>
        <w:t xml:space="preserve"> </w:t>
      </w:r>
      <w:hyperlink r:id="rId61">
        <w:r>
          <w:rPr>
            <w:color w:val="246C87"/>
            <w:u w:val="single"/>
          </w:rPr>
          <w:t>[R055]</w:t>
        </w:r>
      </w:hyperlink>
      <w:r>
        <w:t xml:space="preserve">; </w:t>
      </w:r>
      <w:hyperlink r:id="rId51">
        <w:r>
          <w:rPr>
            <w:color w:val="246C87"/>
            <w:u w:val="single"/>
          </w:rPr>
          <w:t>[R062]</w:t>
        </w:r>
      </w:hyperlink>
      <w:r>
        <w:t xml:space="preserve">; </w:t>
      </w:r>
      <w:hyperlink r:id="rId26">
        <w:r>
          <w:rPr>
            <w:color w:val="246C87"/>
            <w:u w:val="single"/>
          </w:rPr>
          <w:t>[R063]</w:t>
        </w:r>
      </w:hyperlink>
    </w:p>
    <w:p>
      <w:pPr>
        <w:pStyle w:val="Heading2"/>
      </w:pPr>
      <w:r>
        <w:t>3.7. Греческие доноры и технически удобные переводы</w:t>
      </w:r>
    </w:p>
    <w:p>
      <w:r>
        <w:t>Современное издание Иоанна Дамаскина у St Vladimir’s Seminary Press даёт параллельный греческий и английский тексты и официальный путь покупки; приобретение не выполнялось. Для бесплатного знакомства пригодны старые английские переводы в CCEL: Василий в NPNF, вторая серия, том VIII; Дамаскин — том IX. Условия CCEL следует проверять отдельно от возраста печатного перевода.</w:t>
      </w:r>
      <w:r>
        <w:t xml:space="preserve"> </w:t>
      </w:r>
      <w:hyperlink r:id="rId52">
        <w:r>
          <w:rPr>
            <w:color w:val="246C87"/>
            <w:u w:val="single"/>
          </w:rPr>
          <w:t>[R052]</w:t>
        </w:r>
      </w:hyperlink>
      <w:r>
        <w:t xml:space="preserve">; </w:t>
      </w:r>
      <w:hyperlink r:id="rId53">
        <w:r>
          <w:rPr>
            <w:color w:val="246C87"/>
            <w:u w:val="single"/>
          </w:rPr>
          <w:t>[R053]</w:t>
        </w:r>
      </w:hyperlink>
      <w:r>
        <w:t xml:space="preserve">; </w:t>
      </w:r>
      <w:hyperlink r:id="rId54">
        <w:r>
          <w:rPr>
            <w:color w:val="246C87"/>
            <w:u w:val="single"/>
          </w:rPr>
          <w:t>[R054]</w:t>
        </w:r>
      </w:hyperlink>
    </w:p>
    <w:p>
      <w:r>
        <w:t>Самый свободный найденный старый английский библейский параллельный текст — eng-Brenton в eBible, прямо обозначенный Public Domain. Он доступен в форматах чтения и машинного обмена. Для славянского синтаксического анализа наиболее готовым набором является UD Old Church Slavonic PROIEL с CoNLL-U и лицензией CC BY-NC-SA 4.0. Первый ресурс не является оригиналом на греческом, второй — полным цифровым собранием всех памятников строки.</w:t>
      </w:r>
      <w:r>
        <w:t xml:space="preserve"> </w:t>
      </w:r>
      <w:hyperlink r:id="rId62">
        <w:r>
          <w:rPr>
            <w:color w:val="246C87"/>
            <w:u w:val="single"/>
          </w:rPr>
          <w:t>[R065]</w:t>
        </w:r>
      </w:hyperlink>
      <w:r>
        <w:t xml:space="preserve">; </w:t>
      </w:r>
      <w:hyperlink r:id="rId74">
        <w:r>
          <w:rPr>
            <w:color w:val="246C87"/>
            <w:u w:val="single"/>
          </w:rPr>
          <w:t>[R009]</w:t>
        </w:r>
      </w:hyperlink>
    </w:p>
    <w:p>
      <w:pPr>
        <w:pStyle w:val="Heading1"/>
        <w:keepNext/>
        <w:pageBreakBefore w:val="0"/>
      </w:pPr>
      <w:r>
        <w:t>4. Карта прав и практического использования</w:t>
      </w:r>
    </w:p>
    <w:p>
      <w:pPr>
        <w:pStyle w:val="Heading2"/>
      </w:pPr>
      <w:r>
        <w:t>4.1. Слои, пригодные для повторного использования</w:t>
      </w:r>
    </w:p>
    <w:p>
      <w:r>
        <w:t>Для наиболее уверенного открытого старта приоритетны критическое издание Псалтыри Димитрия и его отдельные приложения FWF: item-level CC BY 4.0 позволяет строить рабочие копии, публиковать лицензированный материал с атрибуцией и создавать собственные производные тексты в пределах указанного объекта. В таблице раздельно оценены OCR, полнотекстовый индекс и embeddings. Эти теги не распространяются на любые фотографии Синая или любые другие издания Псалтири.</w:t>
      </w:r>
      <w:r>
        <w:t xml:space="preserve"> </w:t>
      </w:r>
      <w:hyperlink r:id="rId28">
        <w:r>
          <w:rPr>
            <w:color w:val="246C87"/>
            <w:u w:val="single"/>
          </w:rPr>
          <w:t>[R043]</w:t>
        </w:r>
      </w:hyperlink>
      <w:r>
        <w:t xml:space="preserve">; </w:t>
      </w:r>
      <w:hyperlink r:id="rId71">
        <w:r>
          <w:rPr>
            <w:color w:val="246C87"/>
            <w:u w:val="single"/>
          </w:rPr>
          <w:t>[R044]</w:t>
        </w:r>
      </w:hyperlink>
      <w:r>
        <w:t xml:space="preserve">; </w:t>
      </w:r>
      <w:hyperlink r:id="rId72">
        <w:r>
          <w:rPr>
            <w:color w:val="246C87"/>
            <w:u w:val="single"/>
          </w:rPr>
          <w:t>[R045]</w:t>
        </w:r>
      </w:hyperlink>
      <w:r>
        <w:t xml:space="preserve">; </w:t>
      </w:r>
      <w:hyperlink r:id="rId29">
        <w:r>
          <w:rPr>
            <w:color w:val="246C87"/>
            <w:u w:val="single"/>
          </w:rPr>
          <w:t>[R046]</w:t>
        </w:r>
      </w:hyperlink>
    </w:p>
    <w:p>
      <w:r>
        <w:t>CCMH лицензирован CC BY 4.0 на уровне исходного пакета. У каждой транскрипции сохранена информация о базовом издании. Для Мариинского, Супрасльского и Саввина текстов указана конкретная историческая основа собственного перевода; для житий, Зографского и Ассеманиева слоёв оставлена дополнительная проверка современных редакторских компонентов. Лицензия файла не превращает отдельное защищённое критическое издание в общественное достояние.</w:t>
      </w:r>
      <w:r>
        <w:t xml:space="preserve"> </w:t>
      </w:r>
      <w:hyperlink r:id="rId63">
        <w:r>
          <w:rPr>
            <w:color w:val="246C87"/>
            <w:u w:val="single"/>
          </w:rPr>
          <w:t>[R001]</w:t>
        </w:r>
      </w:hyperlink>
      <w:r>
        <w:t xml:space="preserve">; </w:t>
      </w:r>
      <w:hyperlink r:id="rId11">
        <w:r>
          <w:rPr>
            <w:color w:val="246C87"/>
            <w:u w:val="single"/>
          </w:rPr>
          <w:t>[R002]</w:t>
        </w:r>
      </w:hyperlink>
      <w:r>
        <w:t xml:space="preserve">; </w:t>
      </w:r>
      <w:hyperlink r:id="rId12">
        <w:r>
          <w:rPr>
            <w:color w:val="246C87"/>
            <w:u w:val="single"/>
          </w:rPr>
          <w:t>[R003]</w:t>
        </w:r>
      </w:hyperlink>
      <w:r>
        <w:t xml:space="preserve">; </w:t>
      </w:r>
      <w:hyperlink r:id="rId13">
        <w:r>
          <w:rPr>
            <w:color w:val="246C87"/>
            <w:u w:val="single"/>
          </w:rPr>
          <w:t>[R004]</w:t>
        </w:r>
      </w:hyperlink>
      <w:r>
        <w:t xml:space="preserve">; </w:t>
      </w:r>
      <w:hyperlink r:id="rId14">
        <w:r>
          <w:rPr>
            <w:color w:val="246C87"/>
            <w:u w:val="single"/>
          </w:rPr>
          <w:t>[R005]</w:t>
        </w:r>
      </w:hyperlink>
      <w:r>
        <w:t xml:space="preserve">; </w:t>
      </w:r>
      <w:hyperlink r:id="rId15">
        <w:r>
          <w:rPr>
            <w:color w:val="246C87"/>
            <w:u w:val="single"/>
          </w:rPr>
          <w:t>[R006]</w:t>
        </w:r>
      </w:hyperlink>
      <w:r>
        <w:t xml:space="preserve">; </w:t>
      </w:r>
      <w:hyperlink r:id="rId16">
        <w:r>
          <w:rPr>
            <w:color w:val="246C87"/>
            <w:u w:val="single"/>
          </w:rPr>
          <w:t>[R007]</w:t>
        </w:r>
      </w:hyperlink>
      <w:r>
        <w:t xml:space="preserve">; </w:t>
      </w:r>
      <w:hyperlink r:id="rId27">
        <w:r>
          <w:rPr>
            <w:color w:val="246C87"/>
            <w:u w:val="single"/>
          </w:rPr>
          <w:t>[R008]</w:t>
        </w:r>
      </w:hyperlink>
    </w:p>
    <w:p>
      <w:r>
        <w:t>Цифровая Синайская псалтырь LMU использует CC BY-SA 4.0. В eZISS текст Фрейзингенских отрывков имеет CC BY-SA 2.5 Slovenia. Для обоих ресурсов существенно отделять собственные транскрипции и разметку от встроенных сторонних изображений, звука и переводов. ShareAlike отмечен как условие распространения производных материалов, а не как запрет на использование.</w:t>
      </w:r>
      <w:r>
        <w:t xml:space="preserve"> </w:t>
      </w:r>
      <w:hyperlink r:id="rId60">
        <w:r>
          <w:rPr>
            <w:color w:val="246C87"/>
            <w:u w:val="single"/>
          </w:rPr>
          <w:t>[R047]</w:t>
        </w:r>
      </w:hyperlink>
      <w:r>
        <w:t xml:space="preserve">; </w:t>
      </w:r>
      <w:hyperlink r:id="rId61">
        <w:r>
          <w:rPr>
            <w:color w:val="246C87"/>
            <w:u w:val="single"/>
          </w:rPr>
          <w:t>[R055]</w:t>
        </w:r>
      </w:hyperlink>
    </w:p>
    <w:p>
      <w:pPr>
        <w:pStyle w:val="Heading2"/>
      </w:pPr>
      <w:r>
        <w:t>4.2. Некоммерческий и неизменяемый материал</w:t>
      </w:r>
    </w:p>
    <w:p>
      <w:r>
        <w:t>UD Old Church Slavonic PROIEL полезен для некоммерческой индексации и вычислительного исследования. Его CC BY-NC-SA 4.0 требует атрибуции, соблюдения NC и ShareAlike при распространении адаптированных данных. Тег EMBEDDINGS_OK в этой записи относится к некоммерческому построению индекса из охваченных данных; он не является общей лицензией на обучение любых моделей, на публикацию воспроизводимых фрагментов или на сторонние изображения.</w:t>
      </w:r>
      <w:r>
        <w:t xml:space="preserve"> </w:t>
      </w:r>
      <w:hyperlink r:id="rId74">
        <w:r>
          <w:rPr>
            <w:color w:val="246C87"/>
            <w:u w:val="single"/>
          </w:rPr>
          <w:t>[R009]</w:t>
        </w:r>
      </w:hyperlink>
    </w:p>
    <w:p>
      <w:r>
        <w:t>Текстологическая статья о «Шестодневе» в Studia Ceranea имеет CC BY-NC-ND 4.0: возможна передача неизменённой опубликованной версии с атрибуцией, лицензией и некоммерческим ограничением. ND не перенесён на сам древний «Шестоднев» и не объявлен лицензией на цитируемые издания. Публикуемый перевод самой статьи или иная переработка не рекомендованы как безусловно разрешённые.</w:t>
      </w:r>
      <w:r>
        <w:t xml:space="preserve"> </w:t>
      </w:r>
      <w:hyperlink r:id="rId55">
        <w:r>
          <w:rPr>
            <w:color w:val="246C87"/>
            <w:u w:val="single"/>
          </w:rPr>
          <w:t>[R061]</w:t>
        </w:r>
      </w:hyperlink>
    </w:p>
    <w:p>
      <w:r>
        <w:t>Карточка книги житий 1689 года в ÖNB несёт No Copyright – Non-Commercial Use Only. Это rights statement, а не Creative Commons-лицензия. Поскольку применимые полные условия библиотеки и просмотрщик не проверены достаточно, в R057 нет автоматического разрешения на зеркало. Некоммерческий характер ToS полезен для выбора маршрута, но не снимает необходимость установить применимые условия.</w:t>
      </w:r>
      <w:r>
        <w:t xml:space="preserve"> </w:t>
      </w:r>
      <w:hyperlink r:id="rId59">
        <w:r>
          <w:rPr>
            <w:color w:val="246C87"/>
            <w:u w:val="single"/>
          </w:rPr>
          <w:t>[R057]</w:t>
        </w:r>
      </w:hyperlink>
    </w:p>
    <w:p>
      <w:pPr>
        <w:pStyle w:val="Heading2"/>
      </w:pPr>
      <w:r>
        <w:t>4.3. Бесплатное чтение без доказанного права зеркала</w:t>
      </w:r>
    </w:p>
    <w:p>
      <w:r>
        <w:t>Histdict — главный пример богатого доступного корпуса с неустановленными правами повторного использования. Для его предметных страниц уверенно сохранены LINK_OK и FREE_READ. Не выведены автоматически LOCAL_RESEARCH_COPY, OCR_OK, FULLTEXT_INDEX_OK и EMBEDDINGS_OK: эти действия имеют разные последствия и требуют своего основания. Отсутствие открытой лицензии не означает, что читателю запрещён сам доступ.</w:t>
      </w:r>
      <w:r>
        <w:t xml:space="preserve"> </w:t>
      </w:r>
      <w:hyperlink r:id="rId17">
        <w:r>
          <w:rPr>
            <w:color w:val="246C87"/>
            <w:u w:val="single"/>
          </w:rPr>
          <w:t>[R010]</w:t>
        </w:r>
      </w:hyperlink>
      <w:r>
        <w:t xml:space="preserve">; </w:t>
      </w:r>
      <w:hyperlink r:id="rId18">
        <w:r>
          <w:rPr>
            <w:color w:val="246C87"/>
            <w:u w:val="single"/>
          </w:rPr>
          <w:t>[R011]</w:t>
        </w:r>
      </w:hyperlink>
      <w:r>
        <w:t xml:space="preserve">; </w:t>
      </w:r>
      <w:hyperlink r:id="rId33">
        <w:r>
          <w:rPr>
            <w:color w:val="246C87"/>
            <w:u w:val="single"/>
          </w:rPr>
          <w:t>[R012]</w:t>
        </w:r>
      </w:hyperlink>
      <w:r>
        <w:t xml:space="preserve">; </w:t>
      </w:r>
      <w:hyperlink r:id="rId41">
        <w:r>
          <w:rPr>
            <w:color w:val="246C87"/>
            <w:u w:val="single"/>
          </w:rPr>
          <w:t>[R022]</w:t>
        </w:r>
      </w:hyperlink>
    </w:p>
    <w:p>
      <w:r>
        <w:t>Похожий разрыв возникает у библиотечных факсимиле и депозитов старых книг. НЭБ и Президентская библиотека предоставляют законный маршрут к материалу, но доступность кнопки или возраст книги не доказывают разрешение повторно раздавать скан. Старые переводы CCEL доступны для чтения и скачивания с заявленными условиями частного/учебного использования; публичное повторное размещение цифрового выпуска оставлено на отдельное разрешение.</w:t>
      </w:r>
      <w:r>
        <w:t xml:space="preserve"> </w:t>
      </w:r>
      <w:hyperlink r:id="rId21">
        <w:r>
          <w:rPr>
            <w:color w:val="246C87"/>
            <w:u w:val="single"/>
          </w:rPr>
          <w:t>[R039]</w:t>
        </w:r>
      </w:hyperlink>
      <w:r>
        <w:t xml:space="preserve">; </w:t>
      </w:r>
      <w:hyperlink r:id="rId22">
        <w:r>
          <w:rPr>
            <w:color w:val="246C87"/>
            <w:u w:val="single"/>
          </w:rPr>
          <w:t>[R040]</w:t>
        </w:r>
      </w:hyperlink>
      <w:r>
        <w:t xml:space="preserve">; </w:t>
      </w:r>
      <w:hyperlink r:id="rId25">
        <w:r>
          <w:rPr>
            <w:color w:val="246C87"/>
            <w:u w:val="single"/>
          </w:rPr>
          <w:t>[R050]</w:t>
        </w:r>
      </w:hyperlink>
      <w:r>
        <w:t xml:space="preserve">; </w:t>
      </w:r>
      <w:hyperlink r:id="rId53">
        <w:r>
          <w:rPr>
            <w:color w:val="246C87"/>
            <w:u w:val="single"/>
          </w:rPr>
          <w:t>[R053]</w:t>
        </w:r>
      </w:hyperlink>
      <w:r>
        <w:t xml:space="preserve">; </w:t>
      </w:r>
      <w:hyperlink r:id="rId54">
        <w:r>
          <w:rPr>
            <w:color w:val="246C87"/>
            <w:u w:val="single"/>
          </w:rPr>
          <w:t>[R054]</w:t>
        </w:r>
      </w:hyperlink>
      <w:r>
        <w:t xml:space="preserve">; </w:t>
      </w:r>
      <w:hyperlink r:id="rId30">
        <w:r>
          <w:rPr>
            <w:color w:val="246C87"/>
            <w:u w:val="single"/>
          </w:rPr>
          <w:t>[R058]</w:t>
        </w:r>
      </w:hyperlink>
      <w:r>
        <w:t xml:space="preserve">; </w:t>
      </w:r>
      <w:hyperlink r:id="rId51">
        <w:r>
          <w:rPr>
            <w:color w:val="246C87"/>
            <w:u w:val="single"/>
          </w:rPr>
          <w:t>[R062]</w:t>
        </w:r>
      </w:hyperlink>
    </w:p>
    <w:p>
      <w:pPr>
        <w:pStyle w:val="Heading2"/>
      </w:pPr>
      <w:r>
        <w:t>4.4. Метаданные, покупка и ограниченный доступ</w:t>
      </w:r>
    </w:p>
    <w:p>
      <w:r>
        <w:t>Текст каталожной карточки BL можно использовать с атрибуцией по указанной CC BY 4.0; это единственный лицензированный слой R041. Изображения недоступны и не наследуют эту лицензию. У Енинского апостола, Мирославова евангелия, Изборника 1076 и миссала 1483 основной проверенный вход — описание. У современного Дамаскина — официальная покупка; у Храбра в издании Вилинского — читальный зал; у Kantor–White — ограниченный просмотр / поиск.</w:t>
      </w:r>
      <w:r>
        <w:t xml:space="preserve"> </w:t>
      </w:r>
      <w:hyperlink r:id="rId19">
        <w:r>
          <w:rPr>
            <w:color w:val="246C87"/>
            <w:u w:val="single"/>
          </w:rPr>
          <w:t>[R031]</w:t>
        </w:r>
      </w:hyperlink>
      <w:r>
        <w:t xml:space="preserve">; </w:t>
      </w:r>
      <w:hyperlink r:id="rId65">
        <w:r>
          <w:rPr>
            <w:color w:val="246C87"/>
            <w:u w:val="single"/>
          </w:rPr>
          <w:t>[R033]</w:t>
        </w:r>
      </w:hyperlink>
      <w:r>
        <w:t xml:space="preserve">; </w:t>
      </w:r>
      <w:hyperlink r:id="rId20">
        <w:r>
          <w:rPr>
            <w:color w:val="246C87"/>
            <w:u w:val="single"/>
          </w:rPr>
          <w:t>[R036]</w:t>
        </w:r>
      </w:hyperlink>
      <w:r>
        <w:t xml:space="preserve">; </w:t>
      </w:r>
      <w:hyperlink r:id="rId23">
        <w:r>
          <w:rPr>
            <w:color w:val="246C87"/>
            <w:u w:val="single"/>
          </w:rPr>
          <w:t>[R041]</w:t>
        </w:r>
      </w:hyperlink>
      <w:r>
        <w:t xml:space="preserve">; </w:t>
      </w:r>
      <w:hyperlink r:id="rId24">
        <w:r>
          <w:rPr>
            <w:color w:val="246C87"/>
            <w:u w:val="single"/>
          </w:rPr>
          <w:t>[R042]</w:t>
        </w:r>
      </w:hyperlink>
      <w:r>
        <w:t xml:space="preserve">; </w:t>
      </w:r>
      <w:hyperlink r:id="rId73">
        <w:r>
          <w:rPr>
            <w:color w:val="246C87"/>
            <w:u w:val="single"/>
          </w:rPr>
          <w:t>[R051]</w:t>
        </w:r>
      </w:hyperlink>
      <w:r>
        <w:t xml:space="preserve">; </w:t>
      </w:r>
      <w:hyperlink r:id="rId52">
        <w:r>
          <w:rPr>
            <w:color w:val="246C87"/>
            <w:u w:val="single"/>
          </w:rPr>
          <w:t>[R052]</w:t>
        </w:r>
      </w:hyperlink>
      <w:r>
        <w:t xml:space="preserve">; </w:t>
      </w:r>
      <w:hyperlink r:id="rId26">
        <w:r>
          <w:rPr>
            <w:color w:val="246C87"/>
            <w:u w:val="single"/>
          </w:rPr>
          <w:t>[R063]</w:t>
        </w:r>
      </w:hyperlink>
    </w:p>
    <w:p>
      <w:pPr>
        <w:pStyle w:val="Heading2"/>
      </w:pPr>
      <w:r>
        <w:t>4.5. Собственный перевод ToS</w:t>
      </w:r>
    </w:p>
    <w:p>
      <w:r>
        <w:t>Чистые основы найдены в конкретных лицензированных транскрипциях CCMH, в критическом издании Димитриевой псалтыри и в дипломатической транскрипции трёх Фрейзингенских текстов. Историческое издание Копитара даёт основу только для охваченных 12 листов. В каждом случае OWN_TRANSLATION_POSSIBLE ограничен coverage и не означает право переводить отсутствующие части, заимствовать новый защищённый аппарат или брать чужой современный перевод как будто он оригинал.</w:t>
      </w:r>
      <w:r>
        <w:t xml:space="preserve"> </w:t>
      </w:r>
      <w:hyperlink r:id="rId13">
        <w:r>
          <w:rPr>
            <w:color w:val="246C87"/>
            <w:u w:val="single"/>
          </w:rPr>
          <w:t>[R004]</w:t>
        </w:r>
      </w:hyperlink>
      <w:r>
        <w:t xml:space="preserve">; </w:t>
      </w:r>
      <w:hyperlink r:id="rId16">
        <w:r>
          <w:rPr>
            <w:color w:val="246C87"/>
            <w:u w:val="single"/>
          </w:rPr>
          <w:t>[R007]</w:t>
        </w:r>
      </w:hyperlink>
      <w:r>
        <w:t xml:space="preserve">; </w:t>
      </w:r>
      <w:hyperlink r:id="rId27">
        <w:r>
          <w:rPr>
            <w:color w:val="246C87"/>
            <w:u w:val="single"/>
          </w:rPr>
          <w:t>[R008]</w:t>
        </w:r>
      </w:hyperlink>
      <w:r>
        <w:t xml:space="preserve">; </w:t>
      </w:r>
      <w:hyperlink r:id="rId28">
        <w:r>
          <w:rPr>
            <w:color w:val="246C87"/>
            <w:u w:val="single"/>
          </w:rPr>
          <w:t>[R043]</w:t>
        </w:r>
      </w:hyperlink>
      <w:r>
        <w:t xml:space="preserve">; </w:t>
      </w:r>
      <w:hyperlink r:id="rId61">
        <w:r>
          <w:rPr>
            <w:color w:val="246C87"/>
            <w:u w:val="single"/>
          </w:rPr>
          <w:t>[R055]</w:t>
        </w:r>
      </w:hyperlink>
      <w:r>
        <w:t xml:space="preserve">; </w:t>
      </w:r>
      <w:hyperlink r:id="rId32">
        <w:r>
          <w:rPr>
            <w:color w:val="246C87"/>
            <w:u w:val="single"/>
          </w:rPr>
          <w:t>[R060]</w:t>
        </w:r>
      </w:hyperlink>
    </w:p>
    <w:p>
      <w:r>
        <w:t>Для Histdict, части критических реконструкций LMU и современных греко-английских изданий без открытой лицензии безусловный переводческий тег не выставлен. Английские переводы CCEL и Brenton полезны как параллели, но не названы чистой основой прямого перевода со старославянского. Решение о публичной публикации должно приниматься по конкретной строке, а не по общей древности традиции.</w:t>
      </w:r>
      <w:r>
        <w:t xml:space="preserve"> </w:t>
      </w:r>
      <w:hyperlink r:id="rId60">
        <w:r>
          <w:rPr>
            <w:color w:val="246C87"/>
            <w:u w:val="single"/>
          </w:rPr>
          <w:t>[R047]</w:t>
        </w:r>
      </w:hyperlink>
      <w:r>
        <w:t xml:space="preserve">; </w:t>
      </w:r>
      <w:hyperlink r:id="rId52">
        <w:r>
          <w:rPr>
            <w:color w:val="246C87"/>
            <w:u w:val="single"/>
          </w:rPr>
          <w:t>[R052]</w:t>
        </w:r>
      </w:hyperlink>
      <w:r>
        <w:t xml:space="preserve">; </w:t>
      </w:r>
      <w:hyperlink r:id="rId53">
        <w:r>
          <w:rPr>
            <w:color w:val="246C87"/>
            <w:u w:val="single"/>
          </w:rPr>
          <w:t>[R053]</w:t>
        </w:r>
      </w:hyperlink>
      <w:r>
        <w:t xml:space="preserve">; </w:t>
      </w:r>
      <w:hyperlink r:id="rId54">
        <w:r>
          <w:rPr>
            <w:color w:val="246C87"/>
            <w:u w:val="single"/>
          </w:rPr>
          <w:t>[R054]</w:t>
        </w:r>
      </w:hyperlink>
      <w:r>
        <w:t xml:space="preserve">; </w:t>
      </w:r>
      <w:hyperlink r:id="rId62">
        <w:r>
          <w:rPr>
            <w:color w:val="246C87"/>
            <w:u w:val="single"/>
          </w:rPr>
          <w:t>[R065]</w:t>
        </w:r>
      </w:hyperlink>
    </w:p>
    <w:p>
      <w:pPr>
        <w:pStyle w:val="Heading1"/>
        <w:keepNext/>
        <w:pageBreakBefore w:val="0"/>
      </w:pPr>
      <w:r>
        <w:t>5. Характерные правовые и текстологические тонкости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vAlign w:val="top"/>
            <w:shd w:fill="173F4B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Ситуация</w:t>
            </w:r>
          </w:p>
        </w:tc>
        <w:tc>
          <w:tcPr>
            <w:tcW w:type="dxa" w:w="6520"/>
            <w:vAlign w:val="top"/>
            <w:shd w:fill="173F4B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Что важно для ToS</w:t>
            </w:r>
          </w:p>
        </w:tc>
      </w:tr>
      <w:tr>
        <w:trPr>
          <w:cantSplit/>
        </w:trPr>
        <w:tc>
          <w:tcPr>
            <w:tcW w:type="dxa" w:w="3118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Древний текст ≠ современная редакция</w:t>
            </w:r>
          </w:p>
        </w:tc>
        <w:tc>
          <w:tcPr>
            <w:tcW w:type="dxa" w:w="6520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Виты, Ассеманиево и Зографское евангелия могут быть доступны через позднюю научную подготовку. Проверять происхождение исправлений и реконструкций.</w:t>
            </w:r>
          </w:p>
        </w:tc>
      </w:tr>
      <w:tr>
        <w:trPr>
          <w:cantSplit/>
        </w:trPr>
        <w:tc>
          <w:tcPr>
            <w:tcW w:type="dxa" w:w="3118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Открытая транскрипция ≠ свободное факсимиле</w:t>
            </w:r>
          </w:p>
        </w:tc>
        <w:tc>
          <w:tcPr>
            <w:tcW w:type="dxa" w:w="6520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CCMH не лицензирует музейные фотографии. В eZISS текст, изображения и звук имеют разные условия.</w:t>
            </w:r>
          </w:p>
        </w:tc>
      </w:tr>
      <w:tr>
        <w:trPr>
          <w:cantSplit/>
        </w:trPr>
        <w:tc>
          <w:tcPr>
            <w:tcW w:type="dxa" w:w="3118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Каталожная CC BY ≠ CC BY на рукопись</w:t>
            </w:r>
          </w:p>
        </w:tc>
        <w:tc>
          <w:tcPr>
            <w:tcW w:type="dxa" w:w="6520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Для BL разрешение относится к описанию Add MS 39627, а не к недоступным цифровым изображениям.</w:t>
            </w:r>
          </w:p>
        </w:tc>
      </w:tr>
      <w:tr>
        <w:trPr>
          <w:cantSplit/>
        </w:trPr>
        <w:tc>
          <w:tcPr>
            <w:tcW w:type="dxa" w:w="3118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Полный файл ≠ полный корпус</w:t>
            </w:r>
          </w:p>
        </w:tc>
        <w:tc>
          <w:tcPr>
            <w:tcW w:type="dxa" w:w="6520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Медицинские листки — фрагмент; Копитар — 12 листов; Октоих — гласы 1–4; поздняя копия Изборника — один свидетель.</w:t>
            </w:r>
          </w:p>
        </w:tc>
      </w:tr>
      <w:tr>
        <w:trPr>
          <w:cantSplit/>
        </w:trPr>
        <w:tc>
          <w:tcPr>
            <w:tcW w:type="dxa" w:w="3118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Public Domain ≠ универсальная лицензия</w:t>
            </w:r>
          </w:p>
        </w:tc>
        <w:tc>
          <w:tcPr>
            <w:tcW w:type="dxa" w:w="6520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Статус старого текста и статус цифровой копии разделены. Для Internet Archive проверено происхождение файла, а не только наличие кнопки.</w:t>
            </w:r>
          </w:p>
        </w:tc>
      </w:tr>
      <w:tr>
        <w:trPr>
          <w:cantSplit/>
        </w:trPr>
        <w:tc>
          <w:tcPr>
            <w:tcW w:type="dxa" w:w="3118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Чтение ≠ OCR ≠ индекс ≠ embeddings</w:t>
            </w:r>
          </w:p>
        </w:tc>
        <w:tc>
          <w:tcPr>
            <w:tcW w:type="dxa" w:w="6520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Ни одно действие не разрешено автоматически по признаку бесплатного сайта. Положительные теги всегда ограничены rights_scope.</w:t>
            </w:r>
          </w:p>
        </w:tc>
      </w:tr>
      <w:tr>
        <w:trPr>
          <w:cantSplit/>
        </w:trPr>
        <w:tc>
          <w:tcPr>
            <w:tcW w:type="dxa" w:w="3118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Поздний свидетель ≠ позднее произведение</w:t>
            </w:r>
          </w:p>
        </w:tc>
        <w:tc>
          <w:tcPr>
            <w:tcW w:type="dxa" w:w="6520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1263, 1645, 1819 — даты конкретных носителей. Они не меняют дату возникновения «Шестоднева», «Сказания» и Изборника.</w:t>
            </w:r>
          </w:p>
        </w:tc>
      </w:tr>
    </w:tbl>
    <w:p>
      <w:r>
        <w:t>Сходство названий здесь особенно опасно: «О письменах» Черноризца Храбра и «Сказание изъявленно о письменах» Константина Костенецкого — разные тексты. Так же нельзя автоматически объединять Sin. Slav. 38/O + 2/N с NF 3, а два разных зографских шифра в карточках Жития Петки — считать простой ошибкой нумерации без каталоговой сверки.</w:t>
      </w:r>
      <w:r>
        <w:t xml:space="preserve"> </w:t>
      </w:r>
      <w:hyperlink r:id="rId56">
        <w:r>
          <w:rPr>
            <w:color w:val="246C87"/>
            <w:u w:val="single"/>
          </w:rPr>
          <w:t>[R013]</w:t>
        </w:r>
      </w:hyperlink>
      <w:r>
        <w:t xml:space="preserve">; </w:t>
      </w:r>
      <w:hyperlink r:id="rId19">
        <w:r>
          <w:rPr>
            <w:color w:val="246C87"/>
            <w:u w:val="single"/>
          </w:rPr>
          <w:t>[R031]</w:t>
        </w:r>
      </w:hyperlink>
      <w:r>
        <w:t xml:space="preserve">; </w:t>
      </w:r>
      <w:hyperlink r:id="rId28">
        <w:r>
          <w:rPr>
            <w:color w:val="246C87"/>
            <w:u w:val="single"/>
          </w:rPr>
          <w:t>[R043]</w:t>
        </w:r>
      </w:hyperlink>
      <w:r>
        <w:t xml:space="preserve">; </w:t>
      </w:r>
      <w:hyperlink r:id="rId60">
        <w:r>
          <w:rPr>
            <w:color w:val="246C87"/>
            <w:u w:val="single"/>
          </w:rPr>
          <w:t>[R047]</w:t>
        </w:r>
      </w:hyperlink>
      <w:r>
        <w:t xml:space="preserve">; </w:t>
      </w:r>
      <w:hyperlink r:id="rId50">
        <w:r>
          <w:rPr>
            <w:color w:val="246C87"/>
            <w:u w:val="single"/>
          </w:rPr>
          <w:t>[R048]</w:t>
        </w:r>
      </w:hyperlink>
      <w:r>
        <w:t xml:space="preserve">; </w:t>
      </w:r>
      <w:hyperlink r:id="rId57">
        <w:r>
          <w:rPr>
            <w:color w:val="246C87"/>
            <w:u w:val="single"/>
          </w:rPr>
          <w:t>[R049]</w:t>
        </w:r>
      </w:hyperlink>
    </w:p>
    <w:p>
      <w:r>
        <w:t>Машиночитаемая форма также не гарантирует научной полноты. Рабочая транскрипция может содержать знаки сомнения, поздние исправления и текст, упорядоченный по библейским стихам вместо рукописных строк. OCR старого скана может ошибочно определять язык. Для собственного перевода и публичного поиска следует сохранять различие между строкой свидетеля, исправлением редактора и машинной нормализацией.</w:t>
      </w:r>
      <w:r>
        <w:t xml:space="preserve"> </w:t>
      </w:r>
      <w:hyperlink r:id="rId13">
        <w:r>
          <w:rPr>
            <w:color w:val="246C87"/>
            <w:u w:val="single"/>
          </w:rPr>
          <w:t>[R004]</w:t>
        </w:r>
      </w:hyperlink>
      <w:r>
        <w:t xml:space="preserve">; </w:t>
      </w:r>
      <w:hyperlink r:id="rId14">
        <w:r>
          <w:rPr>
            <w:color w:val="246C87"/>
            <w:u w:val="single"/>
          </w:rPr>
          <w:t>[R005]</w:t>
        </w:r>
      </w:hyperlink>
      <w:r>
        <w:t xml:space="preserve">; </w:t>
      </w:r>
      <w:hyperlink r:id="rId27">
        <w:r>
          <w:rPr>
            <w:color w:val="246C87"/>
            <w:u w:val="single"/>
          </w:rPr>
          <w:t>[R008]</w:t>
        </w:r>
      </w:hyperlink>
      <w:r>
        <w:t xml:space="preserve">; </w:t>
      </w:r>
      <w:hyperlink r:id="rId74">
        <w:r>
          <w:rPr>
            <w:color w:val="246C87"/>
            <w:u w:val="single"/>
          </w:rPr>
          <w:t>[R009]</w:t>
        </w:r>
      </w:hyperlink>
      <w:r>
        <w:t xml:space="preserve">; </w:t>
      </w:r>
      <w:hyperlink r:id="rId32">
        <w:r>
          <w:rPr>
            <w:color w:val="246C87"/>
            <w:u w:val="single"/>
          </w:rPr>
          <w:t>[R060]</w:t>
        </w:r>
      </w:hyperlink>
    </w:p>
    <w:p>
      <w:r>
        <w:t>В реестре нет вывода о всемирном общественном достоянии, основанного только на американской отметке NOT_IN_COPYRIGHT. У Копитара исторический текст и конкретная оцифровка рассмотрены раздельно. У Brenton приведено прямое заявление eBible о Public Domain на выпуск; оно не превращается в лицензию на весь сайт. Юрисдикцию предполагаемого публичного зеркала следует проверять перед размещением, особенно для старых переводов и научных изданий.</w:t>
      </w:r>
      <w:r>
        <w:t xml:space="preserve"> </w:t>
      </w:r>
      <w:hyperlink r:id="rId32">
        <w:r>
          <w:rPr>
            <w:color w:val="246C87"/>
            <w:u w:val="single"/>
          </w:rPr>
          <w:t>[R060]</w:t>
        </w:r>
      </w:hyperlink>
      <w:r>
        <w:t xml:space="preserve">; </w:t>
      </w:r>
      <w:hyperlink r:id="rId62">
        <w:r>
          <w:rPr>
            <w:color w:val="246C87"/>
            <w:u w:val="single"/>
          </w:rPr>
          <w:t>[R065]</w:t>
        </w:r>
      </w:hyperlink>
    </w:p>
    <w:p>
      <w:r>
        <w:t>Уверенность в правах и уверенность в доступе независимы. FWF может давать ясную лицензию, даже когда крупный файл не обработан инструментом; Histdict может давать читаемый текст при неясном разрешении на повторное использование. Поэтому verification_status не заменяет rights_confidence, а высокая уверенность в метаданных не означает высокой уверенности в правах на изображения.</w:t>
      </w:r>
    </w:p>
    <w:p>
      <w:pPr>
        <w:pStyle w:val="Heading1"/>
        <w:keepNext/>
        <w:pageBreakBefore w:val="0"/>
      </w:pPr>
      <w:r>
        <w:t>6. Пробелы и дальнейший поиск</w:t>
      </w:r>
    </w:p>
    <w:p>
      <w:r>
        <w:t>Лист gaps содержит 33 записи: не только отсутствующий полный доступ, но и технически непроверенные просмотрщики, неясные права, незавершённые предметные поиски и кандидаты с недостаточной идентификацией. «Не найдено» означает отсутствие пригодного подтверждённого пути в данном запуске, а не отсутствие самого произведения.</w:t>
      </w:r>
    </w:p>
    <w:p>
      <w:pPr>
        <w:pStyle w:val="Heading2"/>
      </w:pPr>
      <w:r>
        <w:t>6.1. Главные незакрытые участки</w:t>
      </w:r>
    </w:p>
    <w:p>
      <w:r>
        <w:t>Наибольшие содержательные пробелы — полный свободный текст Храбра; проверенные русские переводы житий и «Шестоднева»; полный цифровой Изборник 1076; факсимиле Киевских листков, Енинского и Баницкого памятников, Мирославова евангелия и хорватского миссала 1483. Для этих объектов сохранены исходные идентификаторы, библиографические ориентиры или институциональные входы. Современные критические издания не исключены только потому, что их полный открытый файл не найден.</w:t>
      </w:r>
    </w:p>
    <w:p>
      <w:r>
        <w:t>Технические ограничения сконцентрированы в LOC (403 при предметных запросах), интерактивных библиотечных просмотрщиках, NSK (сообщение о недоступной странице), HRČAK (418 при PDF), ИРЛИ (502) и ИФ РАН (тайм-аут). Это результаты конкретных проверок, не утверждения о недоступности сайтов для любого пользователя. Для BL недоступность изображений подтверждена текстом самого каталога; у других ресурсов нередко удалось прочитать лишь карточку.</w:t>
      </w:r>
    </w:p>
    <w:p>
      <w:r>
        <w:t>Отдельный правовой пробел — Histdict: широкое чтение подтверждено, но лицензия для повторной публикации не установлена. У CCMH и LMU нужно проверить сторонние критические компоненты, у НЭБ, ПБ, SAZU и ÖNB — применимые условия конкретного цифрового выпуска. Платные или читальнозальные пути нельзя превращать в разрешение выгружать книгу целиком.</w:t>
      </w:r>
    </w:p>
    <w:p>
      <w:pPr>
        <w:pStyle w:val="Heading2"/>
      </w:pPr>
      <w:r>
        <w:t>6.2. Внепериодные и недостаточно проверенные кандидаты</w:t>
      </w:r>
    </w:p>
    <w:p>
      <w:r>
        <w:t>За пределами основного интервала дальнейшей проверки требуют конкретные раннемодерные библейские редакции — Геннадиевская, Острожская и Елизаветинская — в части их связи с найденным псалтырным и евангельским материалом; остальные поздние версии Жития Петки; новые издания старых требников и кодексов. Эти направления оставлены открытыми не из-за поздней даты, а из-за отсутствия завершённого предметного доступа.</w:t>
      </w:r>
    </w:p>
    <w:p>
      <w:r>
        <w:t>Проглас, Закон судный людем, греческие жития Климента и жития Наума требуют отдельного завершения поиска. Латинские документы институционального и полемического окружения миссии — Industriae tuae и Conversio Bagoariorum et Carantanorum — оставлены кандидатами до проверки точного состава изданий и отношения к Мефодию. Их названия не означают, что установлен полный текст или лицензия.</w:t>
      </w:r>
    </w:p>
    <w:p>
      <w:r>
        <w:t>Wikipedia не используется как конечный источник метаданных, доступа или прав. Конкретный шифр BAV Inc.II.733, первоначально найденный через слабую навигацию, оставлен в G015 как unverified_candidate: интерфейс DigiVatLib открылся, но требуемое отождествление экземпляра с изданием миссала 1483 не подтверждено надёжным item-каталогом. Аналогично сниппет ИРЛИ не стал доказательством работающего полного русского перевода. Включённых на одном лишь основании Wikipedia основных записей нет.</w:t>
      </w:r>
    </w:p>
    <w:p>
      <w:pPr>
        <w:pStyle w:val="Heading2"/>
      </w:pPr>
      <w:r>
        <w:t>6.3. Восемь направлений с наибольшей отдачей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top"/>
            <w:shd w:fill="173F4B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7370"/>
            <w:vAlign w:val="top"/>
            <w:shd w:fill="173F4B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Следующий предметный поиск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1 · Храбр и русские переводы</w:t>
            </w:r>
          </w:p>
        </w:tc>
        <w:tc>
          <w:tcPr>
            <w:tcW w:type="dxa" w:w="7370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Вилинский 1901 → Куев / Ведер; отдельные страницы житий БЛДР; Баранкова–Мильков 2001. Сначала установить редакцию и полный законный вход, затем права.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2 · Недостающие ранние факсимиле</w:t>
            </w:r>
          </w:p>
        </w:tc>
        <w:tc>
          <w:tcPr>
            <w:tcW w:type="dxa" w:w="7370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Киевские листки, Енинский апостол, Баницкое евангелие и части Suprasliensis. Поиск по shelfmark и item ID; отдельная полнота и лицензия каждого свидетеля.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3 · Греческие источники</w:t>
            </w:r>
          </w:p>
        </w:tc>
        <w:tc>
          <w:tcPr>
            <w:tcW w:type="dxa" w:w="7370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От фрагментов и номеров поучений в словаре Учительного евангелия и исследовании «Шестоднева» перейти к точным катенам и критическим изданиям, не ко всей патристике.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4 · Кирилло-мефодиевское окружение</w:t>
            </w:r>
          </w:p>
        </w:tc>
        <w:tc>
          <w:tcPr>
            <w:tcW w:type="dxa" w:w="7370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Проглас, юридические тексты, жития Климента и Наума, латинские testimonia. Сначала подтвердить состав и связь; отдельно оценить перевод, свидетель и реконструкцию.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5 · Изборники и библейская передача</w:t>
            </w:r>
          </w:p>
        </w:tc>
        <w:tc>
          <w:tcPr>
            <w:tcW w:type="dxa" w:w="7370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Найти древнейшие свидетели 1073/1076 и предметные поздние библейские версии. Не смешивать список XV века и копию 1819 с оригинальным кодексом.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6 · Хорватская и сербская печать</w:t>
            </w:r>
          </w:p>
        </w:tc>
        <w:tc>
          <w:tcPr>
            <w:tcW w:type="dxa" w:w="7370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Обновить NSK item миссала 1483; подтвердить Inc.II.733; найти НБС И 40 Деч 156. Проверить конкретный экземпляр, неполноту и права изображений.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7 · Синай и агиографическая передача</w:t>
            </w:r>
          </w:p>
        </w:tc>
        <w:tc>
          <w:tcPr>
            <w:tcW w:type="dxa" w:w="7370"/>
            <w:vAlign w:val="top"/>
            <w:shd w:fill="EDF3F5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Соединить старые/новые листы требника; сверить сиглы Петки, Варлаама и Димитрия Ростовского; проверить крупные FWF-файлы без подмены лицензии технической доступностью.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8 · Права и машинный доступ</w:t>
            </w:r>
          </w:p>
        </w:tc>
        <w:tc>
          <w:tcPr>
            <w:tcW w:type="dxa" w:w="7370"/>
            <w:vAlign w:val="top"/>
            <w:shd w:fill="FFFFFF"/>
          </w:tcPr>
          <w:p>
            <w:pPr>
              <w:spacing w:after="80" w:before="80" w:line="245" w:lineRule="auto"/>
            </w:pPr>
            <w:r>
              <w:rPr>
                <w:rFonts w:ascii="Liberation Sans" w:hAnsi="Liberation Sans"/>
                <w:sz w:val="18"/>
              </w:rPr>
              <w:t>Найти официальные условия Histdict, проверить компонентные права CCMH/LMU, затем предметные HMML IDs и словарные сиглы GORAZD. API или bulk не подразумеваются автоматически.</w:t>
            </w:r>
          </w:p>
        </w:tc>
      </w:tr>
    </w:tbl>
    <w:p>
      <w:r>
        <w:t>Эти направления не являются скрытым поручением купить книги, зарегистрировать аккаунты или писать хранителям. Они фиксируют, какие подтверждения потребуются для следующего исследовательского шага. В текущей поставке нет результатов таких действий.</w:t>
      </w:r>
    </w:p>
    <w:p>
      <w:pPr>
        <w:pStyle w:val="Heading1"/>
        <w:keepNext/>
        <w:pageBreakBefore w:val="0"/>
      </w:pPr>
      <w:r>
        <w:t>7. Итоговая оценка</w:t>
      </w:r>
    </w:p>
    <w:p>
      <w:r>
        <w:t>Корпус покрыт существенно, но не равномерно. Наиболее сильная часть — ранние славянские транскрипции, преславский переводно-экзегетический круг, синайский псалтырный и требниковый материал и конкретные поздние линии сохранения. Основные названия DR не потеряны: везде есть предметная запись или явный пробел. При этом результат не является исчерпывающим каталогом всей византийско-славянской книжности.</w:t>
      </w:r>
    </w:p>
    <w:p>
      <w:r>
        <w:t>Оригинальный славянский текст чаще доступен, чем полный современный перевод. Для многих центральных памятников можно читать транскрипцию; проверка факсимиле распределена между репозиториями и нередко ограничена просмотрщиками. Особенно слабее покрыты полные русские переводы и ряд защищённых критических изданий. Старые английские переводы греческих доноров полезны для знакомства, но не заменяют прямого перевода славянской версии.</w:t>
      </w:r>
    </w:p>
    <w:p>
      <w:r>
        <w:t>Наиболее свободный слой находится в item-level материалах FWF, в исторически основанных транскрипциях CCMH, в текстовой части eZISS и в публичнодоменном eng-Brenton. Полезный некоммерческий слой — UD PROIEL; смешанные права видны у LMU, eZISS, BL и библиотечных изображений. Главные ограничения сосредоточены не в древнем произведении, а в современной редакции, цифровом объекте, условиях платформы и непроверенной полноте.</w:t>
      </w:r>
    </w:p>
    <w:p>
      <w:r>
        <w:t>Пакет пригоден для передачи Codex как исследовательский реестр: постоянные record_id, предметные URL, отделённые уровни прав, технический статус проверки, ограниченный объём допустимого использования и конкретные gaps. Он не является разрешением на автоматическое зеркалирование всего перечисленного. Первым действием после выбора ресурса должна быть проверка его coverage, rights_scope и verification_status; только затем — допустимая работа с конкретным слоем.</w:t>
      </w:r>
    </w:p>
    <w:p>
      <w:pPr>
        <w:pStyle w:val="Caption"/>
      </w:pPr>
      <w:r>
        <w:t>Практический порядок: открыто лицензированный текст → проверка версии и полноты → документированное использование. Неясные права не удаляют законную ссылку, но блокируют автоматический перенос разрешений.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Liberation Sans" w:hAnsi="Liberation Sans"/>
        <w:sz w:val="16"/>
      </w:rPr>
      <w:t xml:space="preserve">Проверка: 05.09.2026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536975"/>
        <w:sz w:val="16"/>
      </w:rPr>
      <w:t>ToS  /  CORPUS &amp; RIGHTS  /  T2-58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00"/>
    </w:pPr>
    <w:rPr>
      <w:rFonts w:ascii="Liberation Serif" w:hAnsi="Liberation Serif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F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73F4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73F4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color w:val="173F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Liberation Sans" w:hAnsi="Liberation Sans"/>
      <w:i/>
      <w:iCs/>
      <w:color w:val="173F4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00" w:line="259" w:lineRule="auto"/>
    </w:pPr>
    <w:rPr>
      <w:rFonts w:ascii="Liberation Serif" w:hAnsi="Liberation Serif"/>
      <w:sz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Liberation Sans" w:hAnsi="Liberation Sans"/>
      <w:b/>
      <w:bCs/>
      <w:color w:val="53697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kielipankki.fi/download/ccmh-src/www/vita_constantini.html" TargetMode="External"/><Relationship Id="rId12" Type="http://schemas.openxmlformats.org/officeDocument/2006/relationships/hyperlink" Target="https://www.kielipankki.fi/download/ccmh-src/www/vita_methodii.html" TargetMode="External"/><Relationship Id="rId13" Type="http://schemas.openxmlformats.org/officeDocument/2006/relationships/hyperlink" Target="https://www.kielipankki.fi/download/ccmh-src/www/marianus.html" TargetMode="External"/><Relationship Id="rId14" Type="http://schemas.openxmlformats.org/officeDocument/2006/relationships/hyperlink" Target="https://www.kielipankki.fi/download/ccmh-src/www/zographensis.html" TargetMode="External"/><Relationship Id="rId15" Type="http://schemas.openxmlformats.org/officeDocument/2006/relationships/hyperlink" Target="https://www.kielipankki.fi/download/ccmh-src/www/assemanianus.html" TargetMode="External"/><Relationship Id="rId16" Type="http://schemas.openxmlformats.org/officeDocument/2006/relationships/hyperlink" Target="https://www.kielipankki.fi/download/ccmh-src/www/suprasliensis.html" TargetMode="External"/><Relationship Id="rId17" Type="http://schemas.openxmlformats.org/officeDocument/2006/relationships/hyperlink" Target="https://histdict.uni-sofia.bg/textcorpus/show/doc_154" TargetMode="External"/><Relationship Id="rId18" Type="http://schemas.openxmlformats.org/officeDocument/2006/relationships/hyperlink" Target="https://histdict.uni-sofia.bg/textcorpus/show/doc_152" TargetMode="External"/><Relationship Id="rId19" Type="http://schemas.openxmlformats.org/officeDocument/2006/relationships/hyperlink" Target="https://www.prlib.ru/item/1710298" TargetMode="External"/><Relationship Id="rId20" Type="http://schemas.openxmlformats.org/officeDocument/2006/relationships/hyperlink" Target="https://cyrillomethodiana.uni-sofia.bg/descriptions/old-bulgarian-mss/enina-apostle" TargetMode="External"/><Relationship Id="rId21" Type="http://schemas.openxmlformats.org/officeDocument/2006/relationships/hyperlink" Target="https://kp.rusneb.ru/item/material/izbornik-svyatoslava-1073-goda-spisok" TargetMode="External"/><Relationship Id="rId22" Type="http://schemas.openxmlformats.org/officeDocument/2006/relationships/hyperlink" Target="https://kp.rusneb.ru/item/material/izbornik-svyatoslava-1073-g-spisok" TargetMode="External"/><Relationship Id="rId23" Type="http://schemas.openxmlformats.org/officeDocument/2006/relationships/hyperlink" Target="https://searcharchives.bl.uk/catalog/040-002059249" TargetMode="External"/><Relationship Id="rId24" Type="http://schemas.openxmlformats.org/officeDocument/2006/relationships/hyperlink" Target="https://www.unesco.org/en/memory-world/miroslav-gospel-manuscript-1180" TargetMode="External"/><Relationship Id="rId25" Type="http://schemas.openxmlformats.org/officeDocument/2006/relationships/hyperlink" Target="https://www.prlib.ru/item/355487" TargetMode="External"/><Relationship Id="rId26" Type="http://schemas.openxmlformats.org/officeDocument/2006/relationships/hyperlink" Target="https://hit.ffzg.unizg.hr/en/other-activities/they-wrote-in-glagolitic-script/virtual-exhibition/missale-romanum-glagoliticum/" TargetMode="External"/><Relationship Id="rId27" Type="http://schemas.openxmlformats.org/officeDocument/2006/relationships/hyperlink" Target="https://www.kielipankki.fi/download/ccmh-src/www/savvina.html" TargetMode="External"/><Relationship Id="rId28" Type="http://schemas.openxmlformats.org/officeDocument/2006/relationships/hyperlink" Target="https://e-book.fwf.ac.at/detail/o:1578" TargetMode="External"/><Relationship Id="rId29" Type="http://schemas.openxmlformats.org/officeDocument/2006/relationships/hyperlink" Target="https://e-book.fwf.ac.at/detail/o:1584" TargetMode="External"/><Relationship Id="rId30" Type="http://schemas.openxmlformats.org/officeDocument/2006/relationships/hyperlink" Target="https://dirros.openscience.si/IzpisGradiva.php?id=25293&amp;lang=eng" TargetMode="External"/><Relationship Id="rId31" Type="http://schemas.openxmlformats.org/officeDocument/2006/relationships/hyperlink" Target="https://aso.obdurodon.org/read?id=ASO_DR_1N_SIN" TargetMode="External"/><Relationship Id="rId32" Type="http://schemas.openxmlformats.org/officeDocument/2006/relationships/hyperlink" Target="https://archive.org/details/glagolitaclozia00chrygoog" TargetMode="External"/><Relationship Id="rId33" Type="http://schemas.openxmlformats.org/officeDocument/2006/relationships/hyperlink" Target="https://histdict.uni-sofia.bg/textcorpus/show/doc_151" TargetMode="External"/><Relationship Id="rId34" Type="http://schemas.openxmlformats.org/officeDocument/2006/relationships/hyperlink" Target="https://histdict.uni-sofia.bg/textcorpus/show/doc_57" TargetMode="External"/><Relationship Id="rId35" Type="http://schemas.openxmlformats.org/officeDocument/2006/relationships/hyperlink" Target="https://histdict.uni-sofia.bg/textcorpus/show/doc_117" TargetMode="External"/><Relationship Id="rId36" Type="http://schemas.openxmlformats.org/officeDocument/2006/relationships/hyperlink" Target="https://histdict.uni-sofia.bg/textcorpus/show/doc_120" TargetMode="External"/><Relationship Id="rId37" Type="http://schemas.openxmlformats.org/officeDocument/2006/relationships/hyperlink" Target="https://histdict.uni-sofia.bg/textcorpus/show/doc_105" TargetMode="External"/><Relationship Id="rId38" Type="http://schemas.openxmlformats.org/officeDocument/2006/relationships/hyperlink" Target="https://histdict.uni-sofia.bg/textcorpus/show/doc_106" TargetMode="External"/><Relationship Id="rId39" Type="http://schemas.openxmlformats.org/officeDocument/2006/relationships/hyperlink" Target="https://histdict.uni-sofia.bg/textcorpus/show/doc_2" TargetMode="External"/><Relationship Id="rId40" Type="http://schemas.openxmlformats.org/officeDocument/2006/relationships/hyperlink" Target="https://histdict.uni-sofia.bg/textcorpus/show/doc_12" TargetMode="External"/><Relationship Id="rId41" Type="http://schemas.openxmlformats.org/officeDocument/2006/relationships/hyperlink" Target="https://histdict.uni-sofia.bg/textcorpus/show/doc_176" TargetMode="External"/><Relationship Id="rId42" Type="http://schemas.openxmlformats.org/officeDocument/2006/relationships/hyperlink" Target="https://histdict.uni-sofia.bg/textcorpus/show/doc_55" TargetMode="External"/><Relationship Id="rId43" Type="http://schemas.openxmlformats.org/officeDocument/2006/relationships/hyperlink" Target="https://histdict.uni-sofia.bg/textcorpus/show/doc_149" TargetMode="External"/><Relationship Id="rId44" Type="http://schemas.openxmlformats.org/officeDocument/2006/relationships/hyperlink" Target="https://histdict.uni-sofia.bg/textcorpus/show/doc_156" TargetMode="External"/><Relationship Id="rId45" Type="http://schemas.openxmlformats.org/officeDocument/2006/relationships/hyperlink" Target="https://histdict.uni-sofia.bg/textcorpus/show/doc_202" TargetMode="External"/><Relationship Id="rId46" Type="http://schemas.openxmlformats.org/officeDocument/2006/relationships/hyperlink" Target="https://histdict.uni-sofia.bg/textcorpus/show/doc_211" TargetMode="External"/><Relationship Id="rId47" Type="http://schemas.openxmlformats.org/officeDocument/2006/relationships/hyperlink" Target="https://histdict.uni-sofia.bg/textcorpus/show/doc_213" TargetMode="External"/><Relationship Id="rId48" Type="http://schemas.openxmlformats.org/officeDocument/2006/relationships/hyperlink" Target="https://histdict.uni-sofia.bg/textcorpus/show/doc_52" TargetMode="External"/><Relationship Id="rId49" Type="http://schemas.openxmlformats.org/officeDocument/2006/relationships/hyperlink" Target="https://histdict.uni-sofia.bg/textcorpus/show/doc_167" TargetMode="External"/><Relationship Id="rId50" Type="http://schemas.openxmlformats.org/officeDocument/2006/relationships/hyperlink" Target="https://histdict.uni-sofia.bg/textcorpus/show/doc_155" TargetMode="External"/><Relationship Id="rId51" Type="http://schemas.openxmlformats.org/officeDocument/2006/relationships/hyperlink" Target="https://kp.rusneb.ru/item/material/oktoih-glasy-1---4" TargetMode="External"/><Relationship Id="rId52" Type="http://schemas.openxmlformats.org/officeDocument/2006/relationships/hyperlink" Target="https://svspress.com/on-the-orthodox-faith-volume-3-of-the-fount-of-knowledge-pps-62/" TargetMode="External"/><Relationship Id="rId53" Type="http://schemas.openxmlformats.org/officeDocument/2006/relationships/hyperlink" Target="https://www.ccel.org/ccel/schaff/npnf208.html" TargetMode="External"/><Relationship Id="rId54" Type="http://schemas.openxmlformats.org/officeDocument/2006/relationships/hyperlink" Target="https://www.ccel.org/ccel/schaff/npnf209.html" TargetMode="External"/><Relationship Id="rId55" Type="http://schemas.openxmlformats.org/officeDocument/2006/relationships/hyperlink" Target="https://czasopisma.uni.lodz.pl/sceranea/article/view/5395" TargetMode="External"/><Relationship Id="rId56" Type="http://schemas.openxmlformats.org/officeDocument/2006/relationships/hyperlink" Target="https://histdict.uni-sofia.bg/textcorpus/show/doc_170" TargetMode="External"/><Relationship Id="rId57" Type="http://schemas.openxmlformats.org/officeDocument/2006/relationships/hyperlink" Target="https://www.punco.slavistik.lmu.de/petka-about.html" TargetMode="External"/><Relationship Id="rId58" Type="http://schemas.openxmlformats.org/officeDocument/2006/relationships/hyperlink" Target="https://dspace.bcucluj.ro/handle/123456789/67727" TargetMode="External"/><Relationship Id="rId59" Type="http://schemas.openxmlformats.org/officeDocument/2006/relationships/hyperlink" Target="https://onb.digital/result/10A11141" TargetMode="External"/><Relationship Id="rId60" Type="http://schemas.openxmlformats.org/officeDocument/2006/relationships/hyperlink" Target="https://www.punco.slavistik.lmu.de/pss-about.html" TargetMode="External"/><Relationship Id="rId61" Type="http://schemas.openxmlformats.org/officeDocument/2006/relationships/hyperlink" Target="https://nl.ijs.si/e-zrc/bs/index-en.html" TargetMode="External"/><Relationship Id="rId62" Type="http://schemas.openxmlformats.org/officeDocument/2006/relationships/hyperlink" Target="https://ebible.org/find/show.php?id=eng-Brenton" TargetMode="External"/><Relationship Id="rId63" Type="http://schemas.openxmlformats.org/officeDocument/2006/relationships/hyperlink" Target="https://www.kielipankki.fi/download/ccmh-src/" TargetMode="External"/><Relationship Id="rId64" Type="http://schemas.openxmlformats.org/officeDocument/2006/relationships/hyperlink" Target="https://hrcak.srce.hr/14030" TargetMode="External"/><Relationship Id="rId65" Type="http://schemas.openxmlformats.org/officeDocument/2006/relationships/hyperlink" Target="https://catalog.hathitrust.org/Record/000170586" TargetMode="External"/><Relationship Id="rId66" Type="http://schemas.openxmlformats.org/officeDocument/2006/relationships/hyperlink" Target="https://lrc.la.utexas.edu/eieol/ocsol/100" TargetMode="External"/><Relationship Id="rId67" Type="http://schemas.openxmlformats.org/officeDocument/2006/relationships/hyperlink" Target="https://hrcak.srce.hr/302669" TargetMode="External"/><Relationship Id="rId68" Type="http://schemas.openxmlformats.org/officeDocument/2006/relationships/hyperlink" Target="https://balkanstudies.bg/images/UE-1-with_cover.pdf" TargetMode="External"/><Relationship Id="rId69" Type="http://schemas.openxmlformats.org/officeDocument/2006/relationships/hyperlink" Target="https://kp.rusneb.ru/item/material/evangelie-tetr" TargetMode="External"/><Relationship Id="rId70" Type="http://schemas.openxmlformats.org/officeDocument/2006/relationships/hyperlink" Target="https://suprasliensis.obdurodon.org/" TargetMode="External"/><Relationship Id="rId71" Type="http://schemas.openxmlformats.org/officeDocument/2006/relationships/hyperlink" Target="https://e-book.fwf.ac.at/detail/o:1585" TargetMode="External"/><Relationship Id="rId72" Type="http://schemas.openxmlformats.org/officeDocument/2006/relationships/hyperlink" Target="https://e-book.fwf.ac.at/detail/o:1586" TargetMode="External"/><Relationship Id="rId73" Type="http://schemas.openxmlformats.org/officeDocument/2006/relationships/hyperlink" Target="https://ruslang.ru/book/izbornik-1076-goda-t-i" TargetMode="External"/><Relationship Id="rId74" Type="http://schemas.openxmlformats.org/officeDocument/2006/relationships/hyperlink" Target="https://github.com/UniversalDependencies/UD_Old_Church_Slavonic-PROI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T2-58</dc:title>
  <dc:subject>Славянская христианская книжность и византийский handoff</dc:subject>
  <dc:creator>ToS / Древо Софии</dc:creator>
  <cp:keywords>T2-58, corpus, rights, Old Church Slavonic, славянская книжность</cp:keywords>
  <dc:description>Исследовательский отчёт; исходный DR не редактировался.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