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T2-37 · Кашмирский шиваизм,</w:t>
        <w:br/>
        <w:t>тантрическая философия и эстетика</w:t>
      </w:r>
    </w:p>
    <w:p>
      <w:r>
        <w:rPr>
          <w:b w:val="0"/>
        </w:rPr>
      </w:r>
      <w:r>
        <w:rPr>
          <w:b/>
        </w:rPr>
        <w:t>89 маршрутов доступа · около 80 текстовых названий · 29 исследовательских пробелов</w:t>
      </w:r>
      <w:r>
        <w:rPr>
          <w:b w:val="0"/>
        </w:rPr>
      </w:r>
    </w:p>
    <w:p>
      <w:pPr>
        <w:spacing w:after="80"/>
      </w:pPr>
      <w:r>
        <w:rPr>
          <w:b w:val="0"/>
          <w:sz w:val="18"/>
        </w:rPr>
        <w:t>Итоговый пакет: этот отчёт и ToS_Corpus_Rights_T2-37_registry.xlsx. Основной лист — registry (32 поля); отдельный лист — gaps. Идентификаторы [R…] в отчёте соответствуют записям XLSX и ведут к основным страницам источников.</w:t>
      </w:r>
    </w:p>
    <w:p>
      <w:pPr>
        <w:pStyle w:val="Heading1"/>
        <w:pageBreakBefore w:val="0"/>
        <w:spacing w:before="340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710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Мастер-строка</w:t>
            </w:r>
          </w:p>
        </w:tc>
        <w:tc>
          <w:tcPr>
            <w:tcW w:type="dxa" w:w="771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T2-37 — Кашмирский шиваизм, тантрическая философия и эстетика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Исходный статус</w:t>
            </w:r>
          </w:p>
        </w:tc>
        <w:tc>
          <w:tcPr>
            <w:tcW w:type="dxa" w:w="771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A; уверенность 4/5. ID, статус и хронологические границы не изменены.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Три времени</w:t>
            </w:r>
          </w:p>
        </w:tc>
        <w:tc>
          <w:tcPr>
            <w:tcW w:type="dxa" w:w="771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Формирование: VIII–XI вв.; фиксация/передача: IX–XII вв.; канонизация/комментарий: X–XIII вв.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Исторический фокус</w:t>
            </w:r>
          </w:p>
        </w:tc>
        <w:tc>
          <w:tcPr>
            <w:tcW w:type="dxa" w:w="771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Южная Азия; санскритский Кашмир; философско-тантрическая и эстетическая экзегеза IX–XIII вв.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Основание</w:t>
            </w:r>
          </w:p>
        </w:tc>
        <w:tc>
          <w:tcPr>
            <w:tcW w:type="dxa" w:w="771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Прикреплённый «ToS Deep Research: T2-37…», прежде всего §§1, 6, 12–16; контроль по строке T2-37 Таблицы II.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Дата и языки</w:t>
            </w:r>
          </w:p>
        </w:tc>
        <w:tc>
          <w:tcPr>
            <w:tcW w:type="dxa" w:w="771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04.09.2026. Английский и русский поиск; санскритские названия в IAST/ASCII-вариантах; французские, немецкие и итальянские библиографические формы и интерфейсы.</w:t>
            </w:r>
          </w:p>
        </w:tc>
      </w:tr>
    </w:tbl>
    <w:p>
      <w:r>
        <w:rPr>
          <w:b w:val="0"/>
        </w:rPr>
        <w:t>Ядром считались Pratyabhijñā, Śivasūtra/Spanda, синтез Абхинавагупты и непосредственно комментируемые им источники, школьные изложения Кшемараджи, а также Dhvanyāloka/Locana и Nāṭyaśāstra/Abhinavabhāratī. Из DR извлечены текстовые и библиографические подсказки; его предложения о графах, YAML и подисследованиях не выполнялись. Исходный документ не редактировался.</w:t>
      </w:r>
    </w:p>
    <w:p>
      <w:r>
        <w:rPr>
          <w:b w:val="0"/>
        </w:rPr>
        <w:t>Искались произведения, самостоятельные комментарии, переводы, печатные редакции, конкретные рукописные свидетели, транскрипции, факсимиле и машиночитаемые входы. Доступ проверялся на страницах цифровых корпусов, издателей, авторских депозитов и библиотек; метаданные — по заголовкам файлов, каталогам и научным публикациям; права — по item-level уведомлениям и явно применимым условиям.</w:t>
      </w:r>
    </w:p>
    <w:p>
      <w:r>
        <w:rPr>
          <w:b w:val="0"/>
        </w:rPr>
      </w:r>
      <w:r>
        <w:rPr>
          <w:b/>
        </w:rPr>
        <w:t>Главный результат:</w:t>
      </w:r>
      <w:r>
        <w:rPr>
          <w:b w:val="0"/>
        </w:rPr>
        <w:t xml:space="preserve"> найден широкий некоммерчески открытый санскритский слой Muktabodha и, отдельно, полный современный русский перевод Vijñānabhairava В. П. Иванова под CC BY 4.0. При этом доступ к фотографиям рукописей, некоторые критические редакции и существенная часть переводов остаются ограниченными либо непроверенными.</w:t>
      </w:r>
      <w:r>
        <w:t xml:space="preserve"> </w:t>
      </w:r>
      <w:hyperlink r:id="rId11">
        <w:r>
          <w:rPr>
            <w:color w:val="27617A"/>
            <w:u w:val="single"/>
          </w:rPr>
          <w:t>[R087]</w:t>
        </w:r>
      </w:hyperlink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</w:p>
    <w:p>
      <w:r>
        <w:rPr>
          <w:b w:val="0"/>
        </w:rPr>
        <w:t>Слабые списки использовались только для обнаружения кандидатов. Ghātakarparavivṛti, Bhāvopahāra с комментарием и Paramārthacarcā оставлены в G023 как unverified_candidate. Ни один вывод в registry не основан только на Wikipedia; ссылок на неё в двух итоговых файлах нет. Закрытые аккаунты, покупки, обращения к правообладателям и публикации от имени ToS не выполнялись.</w:t>
      </w:r>
    </w:p>
    <w:p>
      <w:pPr>
        <w:pStyle w:val="Heading1"/>
        <w:pageBreakBefore w:val="0"/>
        <w:spacing w:before="340"/>
      </w:pPr>
      <w:r>
        <w:t>2. Охват корпуса</w:t>
      </w:r>
    </w:p>
    <w:p>
      <w:pPr>
        <w:pStyle w:val="Heading2"/>
      </w:pPr>
      <w:r>
        <w:t>2.1. Что было в DR и что добавлено</w:t>
      </w:r>
    </w:p>
    <w:p>
      <w:r>
        <w:rPr>
          <w:b w:val="0"/>
        </w:rPr>
        <w:t>Основной каркас DR получил конкретные входы: Śivadṛṣṭi с объяснением Утпаладевы; Īśvarapratyabhijñākārikā и Vṛtti; фрагменты Vivṛti; оба больших комментария Абхинавагупты; все три члена Siddhitrayī; Tantrāloka с Viveka Джаяратхи; Tantrasāra; Paramārthasāra с Йогараджей; Pratyabhijñāhṛdaya; Śivasūtra и Spanda-комментарии; Mālinīvijayottara; Dhvanyāloka/Locana; Nāṭyaśāstra/Abhinavabhāratī. Отсутствие полной версии отдельных слоёв описано в gaps, а не скрыто общей ссылкой на портал.</w:t>
      </w:r>
      <w:r>
        <w:t xml:space="preserve"> </w:t>
      </w:r>
      <w:hyperlink r:id="rId13">
        <w:r>
          <w:rPr>
            <w:color w:val="27617A"/>
            <w:u w:val="single"/>
          </w:rPr>
          <w:t>[R001]</w:t>
        </w:r>
      </w:hyperlink>
      <w:r>
        <w:t xml:space="preserve"> </w:t>
      </w:r>
      <w:hyperlink r:id="rId14">
        <w:r>
          <w:rPr>
            <w:color w:val="27617A"/>
            <w:u w:val="single"/>
          </w:rPr>
          <w:t>[R003]</w:t>
        </w:r>
      </w:hyperlink>
      <w:r>
        <w:t xml:space="preserve"> </w:t>
      </w:r>
      <w:hyperlink r:id="rId15">
        <w:r>
          <w:rPr>
            <w:color w:val="27617A"/>
            <w:u w:val="single"/>
          </w:rPr>
          <w:t>[R004]</w:t>
        </w:r>
      </w:hyperlink>
      <w:r>
        <w:t xml:space="preserve"> </w:t>
      </w:r>
      <w:hyperlink r:id="rId16">
        <w:r>
          <w:rPr>
            <w:color w:val="27617A"/>
            <w:u w:val="single"/>
          </w:rPr>
          <w:t>[R034]</w:t>
        </w:r>
      </w:hyperlink>
      <w:r>
        <w:t xml:space="preserve"> </w:t>
      </w:r>
      <w:hyperlink r:id="rId17">
        <w:r>
          <w:rPr>
            <w:color w:val="27617A"/>
            <w:u w:val="single"/>
          </w:rPr>
          <w:t>[R043]</w:t>
        </w:r>
      </w:hyperlink>
      <w:r>
        <w:t xml:space="preserve"> </w:t>
      </w:r>
      <w:hyperlink r:id="rId18">
        <w:r>
          <w:rPr>
            <w:color w:val="27617A"/>
            <w:u w:val="single"/>
          </w:rPr>
          <w:t>[R061]</w:t>
        </w:r>
      </w:hyperlink>
      <w:r>
        <w:t xml:space="preserve"> </w:t>
      </w:r>
      <w:hyperlink r:id="rId19">
        <w:r>
          <w:rPr>
            <w:color w:val="27617A"/>
            <w:u w:val="single"/>
          </w:rPr>
          <w:t>[R026]</w:t>
        </w:r>
      </w:hyperlink>
      <w:r>
        <w:t xml:space="preserve"> </w:t>
      </w:r>
      <w:hyperlink r:id="rId20">
        <w:r>
          <w:rPr>
            <w:color w:val="27617A"/>
            <w:u w:val="single"/>
          </w:rPr>
          <w:t>[R036]</w:t>
        </w:r>
      </w:hyperlink>
    </w:p>
    <w:p>
      <w:r>
        <w:rPr>
          <w:b w:val="0"/>
        </w:rPr>
        <w:t>Веб-поиск существенно расширил инвентарь. Добавлены Parātriṃśikā с несколькими разными комментариями; Vijñānabhairava с различимыми редакциями, переводами и поздними толкованиями; Svacchandatantra и Netratantra с Udyota Кшемараджи; Parāprāveśikā; Vātūlanāthasūtra; Śivastotrāvalī и Stavacintāmaṇi с комментариями; два различных Mahānayaprakāśa; Mahārthamañjarī с Parimala; Ṣaṭtriṃśattattvasandoha; комментарии к Bhagavadgītā; Bodhapañcadaśikā и Bhairavastava. Это прямые члены текстовой семьи, а не подборка любых шиваитских книг.</w:t>
      </w:r>
      <w:r>
        <w:t xml:space="preserve"> </w:t>
      </w:r>
      <w:hyperlink r:id="rId21">
        <w:r>
          <w:rPr>
            <w:color w:val="27617A"/>
            <w:u w:val="single"/>
          </w:rPr>
          <w:t>[R016]</w:t>
        </w:r>
      </w:hyperlink>
      <w:r>
        <w:t xml:space="preserve"> </w:t>
      </w:r>
      <w:hyperlink r:id="rId22">
        <w:r>
          <w:rPr>
            <w:color w:val="27617A"/>
            <w:u w:val="single"/>
          </w:rPr>
          <w:t>[R018]</w:t>
        </w:r>
      </w:hyperlink>
      <w:r>
        <w:t xml:space="preserve"> </w:t>
      </w:r>
      <w:hyperlink r:id="rId23">
        <w:r>
          <w:rPr>
            <w:color w:val="27617A"/>
            <w:u w:val="single"/>
          </w:rPr>
          <w:t>[R027]</w:t>
        </w:r>
      </w:hyperlink>
      <w:r>
        <w:t xml:space="preserve"> </w:t>
      </w:r>
      <w:hyperlink r:id="rId24">
        <w:r>
          <w:rPr>
            <w:color w:val="27617A"/>
            <w:u w:val="single"/>
          </w:rPr>
          <w:t>[R028]</w:t>
        </w:r>
      </w:hyperlink>
      <w:r>
        <w:t xml:space="preserve"> </w:t>
      </w:r>
      <w:hyperlink r:id="rId25">
        <w:r>
          <w:rPr>
            <w:color w:val="27617A"/>
            <w:u w:val="single"/>
          </w:rPr>
          <w:t>[R029]</w:t>
        </w:r>
      </w:hyperlink>
      <w:r>
        <w:t xml:space="preserve"> </w:t>
      </w:r>
      <w:hyperlink r:id="rId26">
        <w:r>
          <w:rPr>
            <w:color w:val="27617A"/>
            <w:u w:val="single"/>
          </w:rPr>
          <w:t>[R030]</w:t>
        </w:r>
      </w:hyperlink>
      <w:r>
        <w:t xml:space="preserve"> </w:t>
      </w:r>
      <w:hyperlink r:id="rId27">
        <w:r>
          <w:rPr>
            <w:color w:val="27617A"/>
            <w:u w:val="single"/>
          </w:rPr>
          <w:t>[R031]</w:t>
        </w:r>
      </w:hyperlink>
      <w:r>
        <w:t xml:space="preserve"> </w:t>
      </w:r>
      <w:hyperlink r:id="rId28">
        <w:r>
          <w:rPr>
            <w:color w:val="27617A"/>
            <w:u w:val="single"/>
          </w:rPr>
          <w:t>[R032]</w:t>
        </w:r>
      </w:hyperlink>
      <w:r>
        <w:t xml:space="preserve"> </w:t>
      </w:r>
      <w:hyperlink r:id="rId29">
        <w:r>
          <w:rPr>
            <w:color w:val="27617A"/>
            <w:u w:val="single"/>
          </w:rPr>
          <w:t>[R033]</w:t>
        </w:r>
      </w:hyperlink>
      <w:r>
        <w:t xml:space="preserve"> </w:t>
      </w:r>
      <w:hyperlink r:id="rId30">
        <w:r>
          <w:rPr>
            <w:color w:val="27617A"/>
            <w:u w:val="single"/>
          </w:rPr>
          <w:t>[R051]</w:t>
        </w:r>
      </w:hyperlink>
      <w:r>
        <w:t xml:space="preserve"> </w:t>
      </w:r>
      <w:hyperlink r:id="rId31">
        <w:r>
          <w:rPr>
            <w:color w:val="27617A"/>
            <w:u w:val="single"/>
          </w:rPr>
          <w:t>[R053]</w:t>
        </w:r>
      </w:hyperlink>
      <w:r>
        <w:t xml:space="preserve"> </w:t>
      </w:r>
      <w:hyperlink r:id="rId32">
        <w:r>
          <w:rPr>
            <w:color w:val="27617A"/>
            <w:u w:val="single"/>
          </w:rPr>
          <w:t>[R054]</w:t>
        </w:r>
      </w:hyperlink>
      <w:r>
        <w:t xml:space="preserve"> </w:t>
      </w:r>
      <w:hyperlink r:id="rId33">
        <w:r>
          <w:rPr>
            <w:color w:val="27617A"/>
            <w:u w:val="single"/>
          </w:rPr>
          <w:t>[R055]</w:t>
        </w:r>
      </w:hyperlink>
      <w:r>
        <w:t xml:space="preserve"> </w:t>
      </w:r>
      <w:hyperlink r:id="rId34">
        <w:r>
          <w:rPr>
            <w:color w:val="27617A"/>
            <w:u w:val="single"/>
          </w:rPr>
          <w:t>[R074]</w:t>
        </w:r>
      </w:hyperlink>
      <w:r>
        <w:t xml:space="preserve"> </w:t>
      </w:r>
      <w:hyperlink r:id="rId35">
        <w:r>
          <w:rPr>
            <w:color w:val="27617A"/>
            <w:u w:val="single"/>
          </w:rPr>
          <w:t>[R075]</w:t>
        </w:r>
      </w:hyperlink>
    </w:p>
    <w:p>
      <w:r>
        <w:rPr>
          <w:b w:val="0"/>
        </w:rPr>
        <w:t>Отдельно сохранены рукописные пути: Śivasūtravṛtti по Raghunath Temple 1672k; Īśvarapratyabhijñākaumudī по Srinagar 1089; анонимная vyākhyā на IPV через IFP 762 / Madras R.4353; Parātriśikāvivṛti Лакшмирамы по Berlin Hs. Or. 11633. Это опубликованные электронные транскрипции конкретных свидетелей, не автоматически доступные фотографии. Для BnF Sanscrit 864 подтверждена каталожная идентичность, но изображения не открылись.</w:t>
      </w:r>
      <w:r>
        <w:t xml:space="preserve"> </w:t>
      </w:r>
      <w:hyperlink r:id="rId36">
        <w:r>
          <w:rPr>
            <w:color w:val="27617A"/>
            <w:u w:val="single"/>
          </w:rPr>
          <w:t>[R012]</w:t>
        </w:r>
      </w:hyperlink>
      <w:r>
        <w:t xml:space="preserve"> </w:t>
      </w:r>
      <w:hyperlink r:id="rId37">
        <w:r>
          <w:rPr>
            <w:color w:val="27617A"/>
            <w:u w:val="single"/>
          </w:rPr>
          <w:t>[R050]</w:t>
        </w:r>
      </w:hyperlink>
      <w:r>
        <w:t xml:space="preserve"> </w:t>
      </w:r>
      <w:hyperlink r:id="rId38">
        <w:r>
          <w:rPr>
            <w:color w:val="27617A"/>
            <w:u w:val="single"/>
          </w:rPr>
          <w:t>[R083]</w:t>
        </w:r>
      </w:hyperlink>
      <w:r>
        <w:t xml:space="preserve"> </w:t>
      </w:r>
      <w:hyperlink r:id="rId39">
        <w:r>
          <w:rPr>
            <w:color w:val="27617A"/>
            <w:u w:val="single"/>
          </w:rPr>
          <w:t>[R085]</w:t>
        </w:r>
      </w:hyperlink>
      <w:r>
        <w:t xml:space="preserve"> </w:t>
      </w:r>
      <w:hyperlink r:id="rId40">
        <w:r>
          <w:rPr>
            <w:color w:val="27617A"/>
            <w:u w:val="single"/>
          </w:rPr>
          <w:t>[R062]</w:t>
        </w:r>
      </w:hyperlink>
    </w:p>
    <w:p>
      <w:pPr>
        <w:pStyle w:val="Heading2"/>
      </w:pPr>
      <w:r>
        <w:t>2.2. Проход назад: источники и предшествующие версии</w:t>
      </w:r>
    </w:p>
    <w:p>
      <w:r>
        <w:rPr>
          <w:b w:val="0"/>
        </w:rPr>
      </w:r>
      <w:r>
        <w:rPr>
          <w:b/>
        </w:rPr>
        <w:t>Nāṭyaśāstra</w:t>
      </w:r>
      <w:r>
        <w:rPr>
          <w:b w:val="0"/>
        </w:rPr>
        <w:t xml:space="preserve"> включена не как вся история индийского театра, а как непосредственно комментируемый текст Abhinavabhāratī. </w:t>
      </w:r>
      <w:r>
        <w:rPr>
          <w:b/>
        </w:rPr>
        <w:t>Dhvanyāloka</w:t>
      </w:r>
      <w:r>
        <w:rPr>
          <w:b w:val="0"/>
        </w:rPr>
        <w:t xml:space="preserve"> аналогично образует необходимый коренной слой Locana. Даты самих основ не переносятся на комментарии Абхинавагупты; для каждого доступа отдельно отмечен реально представленный слой.</w:t>
      </w:r>
      <w:r>
        <w:t xml:space="preserve"> </w:t>
      </w:r>
      <w:hyperlink r:id="rId19">
        <w:r>
          <w:rPr>
            <w:color w:val="27617A"/>
            <w:u w:val="single"/>
          </w:rPr>
          <w:t>[R026]</w:t>
        </w:r>
      </w:hyperlink>
      <w:r>
        <w:t xml:space="preserve"> </w:t>
      </w:r>
      <w:hyperlink r:id="rId41">
        <w:r>
          <w:rPr>
            <w:color w:val="27617A"/>
            <w:u w:val="single"/>
          </w:rPr>
          <w:t>[R035]</w:t>
        </w:r>
      </w:hyperlink>
      <w:r>
        <w:t xml:space="preserve"> </w:t>
      </w:r>
      <w:hyperlink r:id="rId20">
        <w:r>
          <w:rPr>
            <w:color w:val="27617A"/>
            <w:u w:val="single"/>
          </w:rPr>
          <w:t>[R036]</w:t>
        </w:r>
      </w:hyperlink>
      <w:r>
        <w:t xml:space="preserve"> </w:t>
      </w:r>
      <w:hyperlink r:id="rId42">
        <w:r>
          <w:rPr>
            <w:color w:val="27617A"/>
            <w:u w:val="single"/>
          </w:rPr>
          <w:t>[R046]</w:t>
        </w:r>
      </w:hyperlink>
    </w:p>
    <w:p>
      <w:r>
        <w:rPr>
          <w:b w:val="0"/>
        </w:rPr>
      </w:r>
      <w:r>
        <w:rPr>
          <w:b/>
        </w:rPr>
        <w:t>Paramārthasāra Ādiśeṣa</w:t>
      </w:r>
      <w:r>
        <w:rPr>
          <w:b w:val="0"/>
        </w:rPr>
        <w:t xml:space="preserve"> выделена как отличное от одноимённого произведения Абхинавагупты сочинение: это предшествующая модель, которую он перерабатывает. Найден её санскритский GRETIL-текст, но редакционная основа Danielson современная; право нового распространяемого перевода не выведено автоматически из возраста исходника.</w:t>
      </w:r>
      <w:r>
        <w:t xml:space="preserve"> </w:t>
      </w:r>
      <w:hyperlink r:id="rId43">
        <w:r>
          <w:rPr>
            <w:color w:val="27617A"/>
            <w:u w:val="single"/>
          </w:rPr>
          <w:t>[R072]</w:t>
        </w:r>
      </w:hyperlink>
      <w:r>
        <w:t xml:space="preserve"> </w:t>
      </w:r>
      <w:hyperlink r:id="rId44">
        <w:r>
          <w:rPr>
            <w:color w:val="27617A"/>
            <w:u w:val="single"/>
          </w:rPr>
          <w:t>[R013]</w:t>
        </w:r>
      </w:hyperlink>
      <w:r>
        <w:t xml:space="preserve"> </w:t>
      </w:r>
      <w:hyperlink r:id="rId45">
        <w:r>
          <w:rPr>
            <w:color w:val="27617A"/>
            <w:u w:val="single"/>
          </w:rPr>
          <w:t>[R069]</w:t>
        </w:r>
      </w:hyperlink>
    </w:p>
    <w:p>
      <w:r>
        <w:rPr>
          <w:b w:val="0"/>
        </w:rPr>
      </w:r>
      <w:r>
        <w:rPr>
          <w:b/>
        </w:rPr>
        <w:t>Mālinīvijayottara</w:t>
      </w:r>
      <w:r>
        <w:rPr>
          <w:b w:val="0"/>
        </w:rPr>
        <w:t xml:space="preserve"> и </w:t>
      </w:r>
      <w:r>
        <w:rPr>
          <w:b/>
        </w:rPr>
        <w:t>Siddhayogeśvarīmata</w:t>
      </w:r>
      <w:r>
        <w:rPr>
          <w:b w:val="0"/>
        </w:rPr>
        <w:t xml:space="preserve"> включены как входящие Trika-писания. Для первого есть старый полный e-text и специальное критическое издание избранных глав; для второго — авторский депозит издания 23 из 32 глав. Tantrasadbhāva оставлена отдельной задачей G008: академическая идентификация есть, пригодного проверенного полного цифрового входа пока нет.</w:t>
      </w:r>
      <w:r>
        <w:t xml:space="preserve"> </w:t>
      </w:r>
      <w:hyperlink r:id="rId46">
        <w:r>
          <w:rPr>
            <w:color w:val="27617A"/>
            <w:u w:val="single"/>
          </w:rPr>
          <w:t>[R015]</w:t>
        </w:r>
      </w:hyperlink>
      <w:r>
        <w:t xml:space="preserve"> </w:t>
      </w:r>
      <w:hyperlink r:id="rId47">
        <w:r>
          <w:rPr>
            <w:color w:val="27617A"/>
            <w:u w:val="single"/>
          </w:rPr>
          <w:t>[R044]</w:t>
        </w:r>
      </w:hyperlink>
      <w:r>
        <w:t xml:space="preserve"> </w:t>
      </w:r>
      <w:hyperlink r:id="rId48">
        <w:r>
          <w:rPr>
            <w:color w:val="27617A"/>
            <w:u w:val="single"/>
          </w:rPr>
          <w:t>[R079]</w:t>
        </w:r>
      </w:hyperlink>
    </w:p>
    <w:p>
      <w:r>
        <w:rPr>
          <w:b w:val="0"/>
        </w:rPr>
      </w:r>
      <w:r>
        <w:rPr>
          <w:b/>
        </w:rPr>
        <w:t>Vākyapadīya, Sāṃkhyakārikā и Pramāṇavārttika II–IV</w:t>
      </w:r>
      <w:r>
        <w:rPr>
          <w:b w:val="0"/>
        </w:rPr>
        <w:t xml:space="preserve"> ограничены ролью входящих источников языка, категориального анализа и полемической эпистемологии, названных в DR. Они не превращены в самостоятельные обзоры грамматической философии, Sāṃkhya и буддийского канона. Bhagavadgītā присутствует именно внутри двух кашмирских комментарийных комплексов, а не как общий религиозный фон.</w:t>
      </w:r>
      <w:r>
        <w:t xml:space="preserve"> </w:t>
      </w:r>
      <w:hyperlink r:id="rId49">
        <w:r>
          <w:rPr>
            <w:color w:val="27617A"/>
            <w:u w:val="single"/>
          </w:rPr>
          <w:t>[R058]</w:t>
        </w:r>
      </w:hyperlink>
      <w:r>
        <w:t xml:space="preserve"> </w:t>
      </w:r>
      <w:hyperlink r:id="rId50">
        <w:r>
          <w:rPr>
            <w:color w:val="27617A"/>
            <w:u w:val="single"/>
          </w:rPr>
          <w:t>[R059]</w:t>
        </w:r>
      </w:hyperlink>
      <w:r>
        <w:t xml:space="preserve"> </w:t>
      </w:r>
      <w:hyperlink r:id="rId51">
        <w:r>
          <w:rPr>
            <w:color w:val="27617A"/>
            <w:u w:val="single"/>
          </w:rPr>
          <w:t>[R073]</w:t>
        </w:r>
      </w:hyperlink>
      <w:r>
        <w:t xml:space="preserve"> </w:t>
      </w:r>
      <w:hyperlink r:id="rId32">
        <w:r>
          <w:rPr>
            <w:color w:val="27617A"/>
            <w:u w:val="single"/>
          </w:rPr>
          <w:t>[R054]</w:t>
        </w:r>
      </w:hyperlink>
      <w:r>
        <w:t xml:space="preserve"> </w:t>
      </w:r>
      <w:hyperlink r:id="rId33">
        <w:r>
          <w:rPr>
            <w:color w:val="27617A"/>
            <w:u w:val="single"/>
          </w:rPr>
          <w:t>[R055]</w:t>
        </w:r>
      </w:hyperlink>
    </w:p>
    <w:p>
      <w:pPr>
        <w:pStyle w:val="Heading2"/>
      </w:pPr>
      <w:r>
        <w:t>2.3. Проход вперёд: комментарии, рецепция, передача</w:t>
      </w:r>
    </w:p>
    <w:p>
      <w:r>
        <w:rPr>
          <w:b w:val="0"/>
        </w:rPr>
        <w:t xml:space="preserve">Поздний контур не обрывается XIII веком. </w:t>
      </w:r>
      <w:r>
        <w:rPr>
          <w:b/>
        </w:rPr>
        <w:t>Bhāskarī</w:t>
      </w:r>
      <w:r>
        <w:rPr>
          <w:b w:val="0"/>
        </w:rPr>
        <w:t xml:space="preserve"> связана с IPV как суперкомментарий; </w:t>
      </w:r>
      <w:r>
        <w:rPr>
          <w:b/>
        </w:rPr>
        <w:t>Parātriśikāvivṛti Лакшмирамы</w:t>
      </w:r>
      <w:r>
        <w:rPr>
          <w:b w:val="0"/>
        </w:rPr>
        <w:t xml:space="preserve"> — с тем же коренным текстом, который объяснял Абхинавагупта; </w:t>
      </w:r>
      <w:r>
        <w:rPr>
          <w:b/>
        </w:rPr>
        <w:t>Śivopādhyāya</w:t>
      </w:r>
      <w:r>
        <w:rPr>
          <w:b w:val="0"/>
        </w:rPr>
        <w:t xml:space="preserve"> — с Vijñānabhairava; современный комментарий </w:t>
      </w:r>
      <w:r>
        <w:rPr>
          <w:b/>
        </w:rPr>
        <w:t>Harabhaṭṭaśāstrī</w:t>
      </w:r>
      <w:r>
        <w:rPr>
          <w:b w:val="0"/>
        </w:rPr>
        <w:t xml:space="preserve"> — с Bodhapañcadaśikā. Их поздняя дата не уменьшает важности для чтения основ, но не сдвигает границы мастер-строки.</w:t>
      </w:r>
      <w:r>
        <w:t xml:space="preserve"> </w:t>
      </w:r>
      <w:hyperlink r:id="rId52">
        <w:r>
          <w:rPr>
            <w:color w:val="27617A"/>
            <w:u w:val="single"/>
          </w:rPr>
          <w:t>[R002]</w:t>
        </w:r>
      </w:hyperlink>
      <w:r>
        <w:t xml:space="preserve"> </w:t>
      </w:r>
      <w:hyperlink r:id="rId53">
        <w:r>
          <w:rPr>
            <w:color w:val="27617A"/>
            <w:u w:val="single"/>
          </w:rPr>
          <w:t>[R084]</w:t>
        </w:r>
      </w:hyperlink>
      <w:r>
        <w:t xml:space="preserve"> </w:t>
      </w:r>
      <w:hyperlink r:id="rId39">
        <w:r>
          <w:rPr>
            <w:color w:val="27617A"/>
            <w:u w:val="single"/>
          </w:rPr>
          <w:t>[R085]</w:t>
        </w:r>
      </w:hyperlink>
      <w:r>
        <w:t xml:space="preserve"> </w:t>
      </w:r>
      <w:hyperlink r:id="rId54">
        <w:r>
          <w:rPr>
            <w:color w:val="27617A"/>
            <w:u w:val="single"/>
          </w:rPr>
          <w:t>[R080]</w:t>
        </w:r>
      </w:hyperlink>
      <w:r>
        <w:t xml:space="preserve"> </w:t>
      </w:r>
      <w:hyperlink r:id="rId34">
        <w:r>
          <w:rPr>
            <w:color w:val="27617A"/>
            <w:u w:val="single"/>
          </w:rPr>
          <w:t>[R074]</w:t>
        </w:r>
      </w:hyperlink>
    </w:p>
    <w:p>
      <w:r>
        <w:rPr>
          <w:b w:val="0"/>
        </w:rPr>
        <w:t xml:space="preserve">В более широком тантрическом ореоле включена </w:t>
      </w:r>
      <w:r>
        <w:rPr>
          <w:b/>
        </w:rPr>
        <w:t>Vāmakeśvarīmata / Nityāṣoḍaśikārṇava</w:t>
      </w:r>
      <w:r>
        <w:rPr>
          <w:b w:val="0"/>
        </w:rPr>
        <w:t xml:space="preserve"> с объяснением Джаяратхи, то есть автора главного комментария к Tantrāloka. </w:t>
      </w:r>
      <w:r>
        <w:rPr>
          <w:b/>
        </w:rPr>
        <w:t>Setubandha Бхаскарараи</w:t>
      </w:r>
      <w:r>
        <w:rPr>
          <w:b w:val="0"/>
        </w:rPr>
        <w:t xml:space="preserve"> включён как поздний комментарий к этому же конкретному тексту, а не вследствие общей принадлежности к Śrīvidyā. Два Mahānayaprakāśa и Mahārthamañjarī показывают продолжение Krama/недвойственной экзегезы; смешивать их в одно произведение нельзя.</w:t>
      </w:r>
      <w:r>
        <w:t xml:space="preserve"> </w:t>
      </w:r>
      <w:hyperlink r:id="rId55">
        <w:r>
          <w:rPr>
            <w:color w:val="27617A"/>
            <w:u w:val="single"/>
          </w:rPr>
          <w:t>[R076]</w:t>
        </w:r>
      </w:hyperlink>
      <w:r>
        <w:t xml:space="preserve"> </w:t>
      </w:r>
      <w:hyperlink r:id="rId56">
        <w:r>
          <w:rPr>
            <w:color w:val="27617A"/>
            <w:u w:val="single"/>
          </w:rPr>
          <w:t>[R077]</w:t>
        </w:r>
      </w:hyperlink>
      <w:r>
        <w:t xml:space="preserve"> </w:t>
      </w:r>
      <w:hyperlink r:id="rId27">
        <w:r>
          <w:rPr>
            <w:color w:val="27617A"/>
            <w:u w:val="single"/>
          </w:rPr>
          <w:t>[R031]</w:t>
        </w:r>
      </w:hyperlink>
      <w:r>
        <w:t xml:space="preserve"> </w:t>
      </w:r>
      <w:hyperlink r:id="rId28">
        <w:r>
          <w:rPr>
            <w:color w:val="27617A"/>
            <w:u w:val="single"/>
          </w:rPr>
          <w:t>[R032]</w:t>
        </w:r>
      </w:hyperlink>
      <w:r>
        <w:t xml:space="preserve"> </w:t>
      </w:r>
      <w:hyperlink r:id="rId29">
        <w:r>
          <w:rPr>
            <w:color w:val="27617A"/>
            <w:u w:val="single"/>
          </w:rPr>
          <w:t>[R033]</w:t>
        </w:r>
      </w:hyperlink>
    </w:p>
    <w:p>
      <w:r>
        <w:rPr>
          <w:b w:val="0"/>
        </w:rPr>
        <w:t xml:space="preserve">Эстетическое продолжение представлено </w:t>
      </w:r>
      <w:r>
        <w:rPr>
          <w:b/>
        </w:rPr>
        <w:t>Kāvyaprakāśa Мамматы</w:t>
      </w:r>
      <w:r>
        <w:rPr>
          <w:b w:val="0"/>
        </w:rPr>
        <w:t xml:space="preserve"> как членом той же dhvani/rasa-жанровой семьи и </w:t>
      </w:r>
      <w:r>
        <w:rPr>
          <w:b/>
        </w:rPr>
        <w:t>Vyaktivivekavyākhyā Руйяки</w:t>
      </w:r>
      <w:r>
        <w:rPr>
          <w:b w:val="0"/>
        </w:rPr>
        <w:t xml:space="preserve"> как прямой комментарийной линией к полемике Махимабхатты. Более поздний </w:t>
      </w:r>
      <w:r>
        <w:rPr>
          <w:b/>
        </w:rPr>
        <w:t>Sarvadarśanasaṃgraha, глава VIII</w:t>
      </w:r>
      <w:r>
        <w:rPr>
          <w:b w:val="0"/>
        </w:rPr>
        <w:t>, сохраняет доксографическое представление Pratyabhijñā; его английский перевод 1882 года даёт самостоятельный старый путь чтения этой рецепции.</w:t>
      </w:r>
      <w:r>
        <w:t xml:space="preserve"> </w:t>
      </w:r>
      <w:hyperlink r:id="rId57">
        <w:r>
          <w:rPr>
            <w:color w:val="27617A"/>
            <w:u w:val="single"/>
          </w:rPr>
          <w:t>[R086]</w:t>
        </w:r>
      </w:hyperlink>
      <w:r>
        <w:t xml:space="preserve"> </w:t>
      </w:r>
      <w:hyperlink r:id="rId58">
        <w:r>
          <w:rPr>
            <w:color w:val="27617A"/>
            <w:u w:val="single"/>
          </w:rPr>
          <w:t>[R038]</w:t>
        </w:r>
      </w:hyperlink>
      <w:r>
        <w:t xml:space="preserve"> </w:t>
      </w:r>
      <w:hyperlink r:id="rId59">
        <w:r>
          <w:rPr>
            <w:color w:val="27617A"/>
            <w:u w:val="single"/>
          </w:rPr>
          <w:t>[R060]</w:t>
        </w:r>
      </w:hyperlink>
    </w:p>
    <w:p>
      <w:r>
        <w:rPr>
          <w:b w:val="0"/>
        </w:rPr>
        <w:t>KSTS, современные критические издания и переводы XX–XXI вв. входят как линии сохранения и доступа. Они не считаются дополнительными средневековыми произведениями. Даты и авторство поздних малоизученных комментариев оставлены неопределёнными там, где шапка файла или каталог не позволяют надёжной точности.</w:t>
      </w:r>
    </w:p>
    <w:p>
      <w:pPr>
        <w:pStyle w:val="Heading2"/>
      </w:pPr>
      <w:r>
        <w:t>2.4. Количественный итог и границы 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01"/>
        <w:gridCol w:w="5329"/>
      </w:tblGrid>
      <w:tr>
        <w:trPr>
          <w:tblHeader/>
          <w:cantSplit/>
        </w:trPr>
        <w:tc>
          <w:tcPr>
            <w:tcW w:type="dxa" w:w="2438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Что считается</w:t>
            </w:r>
          </w:p>
        </w:tc>
        <w:tc>
          <w:tcPr>
            <w:tcW w:type="dxa" w:w="1701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Итог</w:t>
            </w:r>
          </w:p>
        </w:tc>
        <w:tc>
          <w:tcPr>
            <w:tcW w:type="dxa" w:w="5329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Записи registry</w:t>
            </w:r>
          </w:p>
        </w:tc>
        <w:tc>
          <w:tcPr>
            <w:tcW w:type="dxa" w:w="1701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89</w:t>
            </w:r>
          </w:p>
        </w:tc>
        <w:tc>
          <w:tcPr>
            <w:tcW w:type="dxa" w:w="5329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86 предметных путей и 3 инфраструктурные записи; не 89 разных произведений.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Текстовые названия</w:t>
            </w:r>
          </w:p>
        </w:tc>
        <w:tc>
          <w:tcPr>
            <w:tcW w:type="dxa" w:w="1701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Около 80</w:t>
            </w:r>
          </w:p>
        </w:tc>
        <w:tc>
          <w:tcPr>
            <w:tcW w:type="dxa" w:w="5329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Коренные сочинения и самостоятельные комментарии различены; переводы/репозитории не умножают число произведений.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gaps</w:t>
            </w:r>
          </w:p>
        </w:tc>
        <w:tc>
          <w:tcPr>
            <w:tcW w:type="dxa" w:w="1701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29</w:t>
            </w:r>
          </w:p>
        </w:tc>
        <w:tc>
          <w:tcPr>
            <w:tcW w:type="dxa" w:w="5329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Неполнота, права, технические барьеры, кандидаты и целевые продолжения поиска.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Практически открытый NC-слой</w:t>
            </w:r>
          </w:p>
        </w:tc>
        <w:tc>
          <w:tcPr>
            <w:tcW w:type="dxa" w:w="1701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48 записей</w:t>
            </w:r>
          </w:p>
        </w:tc>
        <w:tc>
          <w:tcPr>
            <w:tcW w:type="dxa" w:w="5329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Есть MIRROR_NONCOMMERCIAL, только в пределах индивидуальных rights_scope и coverage.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Открытый русский перевод без NC</w:t>
            </w:r>
          </w:p>
        </w:tc>
        <w:tc>
          <w:tcPr>
            <w:tcW w:type="dxa" w:w="1701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1 составной маршрут</w:t>
            </w:r>
          </w:p>
        </w:tc>
        <w:tc>
          <w:tcPr>
            <w:tcW w:type="dxa" w:w="5329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R082: две части одной переводческой работы, а не два разных произведения.</w:t>
            </w:r>
          </w:p>
        </w:tc>
      </w:tr>
    </w:tbl>
    <w:p>
      <w:r>
        <w:rPr>
          <w:b w:val="0"/>
        </w:rPr>
        <w:t>По relevance распределение записей таково: core — 38; same_corpus_or_tradition — 21; antecedent — 7; continuation — 2; commentary_or_reception — 11; transmission_or_preservation — 7; infrastructure — 3. Категории supporting, boundary и secondary_navigation не заполнялись искусственно: нужная библиографическая навигация привязана к первичным объектам или оставлена в gaps.</w:t>
      </w:r>
    </w:p>
    <w:p>
      <w:r>
        <w:t>Число около 80 включает, например, карики и их именованный комментарий как разные тексты, но не один ZIP, томовой файл или перевод как новую древнюю книгу. Неустановленная самостоятельность M00197 относительно Bhāskarī в этот счёт не добавлена. Этот счёт не означает столько же полностью проверенных критических изданий: доступ, целостность и качество оцениваются раздельно.</w:t>
      </w:r>
    </w:p>
    <w:p>
      <w:pPr>
        <w:pStyle w:val="Heading1"/>
        <w:pageBreakBefore w:val="0"/>
        <w:spacing w:before="340"/>
      </w:pPr>
      <w:r>
        <w:t>3. Лучшие пути доступа</w:t>
      </w:r>
    </w:p>
    <w:p>
      <w:pPr>
        <w:spacing w:after="80"/>
      </w:pPr>
      <w:r>
        <w:rPr>
          <w:b w:val="0"/>
          <w:sz w:val="18"/>
        </w:rPr>
        <w:t>«Лучший» здесь означает наиболее полезный среди проверенных вариантов для указанной задачи, а не окончательный филологический рейтинг. Бесплатный e-text, критическая книга и рукопись решают разные задачи.</w:t>
      </w:r>
    </w:p>
    <w:p>
      <w:pPr>
        <w:pStyle w:val="Heading2"/>
      </w:pPr>
      <w:r>
        <w:t>3.1. Pratyabhijñā и Śivadṛṣṭi</w:t>
      </w:r>
    </w:p>
    <w:p>
      <w:r>
        <w:rPr>
          <w:b w:val="0"/>
        </w:rPr>
      </w:r>
      <w:r>
        <w:rPr>
          <w:b/>
        </w:rPr>
        <w:t>Бесплатное чтение и машинный текст.</w:t>
      </w:r>
      <w:r>
        <w:rPr>
          <w:b w:val="0"/>
        </w:rPr>
        <w:t xml:space="preserve"> Для Śivadṛṣṭi/Śivadṛṣṭivṛtti и обоих комментариев Абхинавагупты удобнее всего TXT Muktabodha: R001–R003. IPK с полным авторским Vṛtti представлен в GRETIL по Torella (R034). Этот последний объект полезен для чтения и сверки, однако его современная восстановленная основа отделена от более ранних печатных версий. Для трёх доказательных трактатов используются R007–R009; у Īśvarasiddhi отмечена неполнота.</w:t>
      </w:r>
      <w:r>
        <w:t xml:space="preserve"> </w:t>
      </w:r>
      <w:hyperlink r:id="rId13">
        <w:r>
          <w:rPr>
            <w:color w:val="27617A"/>
            <w:u w:val="single"/>
          </w:rPr>
          <w:t>[R001]</w:t>
        </w:r>
      </w:hyperlink>
      <w:r>
        <w:t xml:space="preserve"> </w:t>
      </w:r>
      <w:hyperlink r:id="rId52">
        <w:r>
          <w:rPr>
            <w:color w:val="27617A"/>
            <w:u w:val="single"/>
          </w:rPr>
          <w:t>[R002]</w:t>
        </w:r>
      </w:hyperlink>
      <w:r>
        <w:t xml:space="preserve"> </w:t>
      </w:r>
      <w:hyperlink r:id="rId14">
        <w:r>
          <w:rPr>
            <w:color w:val="27617A"/>
            <w:u w:val="single"/>
          </w:rPr>
          <w:t>[R003]</w:t>
        </w:r>
      </w:hyperlink>
      <w:r>
        <w:t xml:space="preserve"> </w:t>
      </w:r>
      <w:hyperlink r:id="rId16">
        <w:r>
          <w:rPr>
            <w:color w:val="27617A"/>
            <w:u w:val="single"/>
          </w:rPr>
          <w:t>[R034]</w:t>
        </w:r>
      </w:hyperlink>
      <w:r>
        <w:t xml:space="preserve"> </w:t>
      </w:r>
      <w:hyperlink r:id="rId60">
        <w:r>
          <w:rPr>
            <w:color w:val="27617A"/>
            <w:u w:val="single"/>
          </w:rPr>
          <w:t>[R007]</w:t>
        </w:r>
      </w:hyperlink>
      <w:r>
        <w:t xml:space="preserve"> </w:t>
      </w:r>
      <w:hyperlink r:id="rId61">
        <w:r>
          <w:rPr>
            <w:color w:val="27617A"/>
            <w:u w:val="single"/>
          </w:rPr>
          <w:t>[R008]</w:t>
        </w:r>
      </w:hyperlink>
      <w:r>
        <w:t xml:space="preserve"> </w:t>
      </w:r>
      <w:hyperlink r:id="rId62">
        <w:r>
          <w:rPr>
            <w:color w:val="27617A"/>
            <w:u w:val="single"/>
          </w:rPr>
          <w:t>[R009]</w:t>
        </w:r>
      </w:hyperlink>
    </w:p>
    <w:p>
      <w:r>
        <w:rPr>
          <w:b w:val="0"/>
        </w:rPr>
      </w:r>
      <w:r>
        <w:rPr>
          <w:b/>
        </w:rPr>
        <w:t>Научное издание и переводы.</w:t>
      </w:r>
      <w:r>
        <w:rPr>
          <w:b w:val="0"/>
        </w:rPr>
        <w:t xml:space="preserve"> Torella — проверенный современный вход к IPK/Vṛtti с критическим аппаратом и английским переводом; издатель объясняет значение некашмирского свидетеля для восстановления Vṛtti. Для Сомананды сохранены Nemec 2011, главы 1–3, и Nemec 2021, глава 4; часть цифрового ознакомления доступна как Google Books preview, полные научные версии — через покупку/институциональный доступ. Русский перевод «Узнавание Ишвары» С. Орлова найден на официальных страницах «Ганги» в двух частях; обе остаются защищёнными.</w:t>
      </w:r>
      <w:r>
        <w:t xml:space="preserve"> </w:t>
      </w:r>
      <w:hyperlink r:id="rId63">
        <w:r>
          <w:rPr>
            <w:color w:val="27617A"/>
            <w:u w:val="single"/>
          </w:rPr>
          <w:t>[R040]</w:t>
        </w:r>
      </w:hyperlink>
      <w:r>
        <w:t xml:space="preserve"> </w:t>
      </w:r>
      <w:hyperlink r:id="rId64">
        <w:r>
          <w:rPr>
            <w:color w:val="27617A"/>
            <w:u w:val="single"/>
          </w:rPr>
          <w:t>[R063]</w:t>
        </w:r>
      </w:hyperlink>
      <w:r>
        <w:t xml:space="preserve"> </w:t>
      </w:r>
      <w:hyperlink r:id="rId65">
        <w:r>
          <w:rPr>
            <w:color w:val="27617A"/>
            <w:u w:val="single"/>
          </w:rPr>
          <w:t>[R041]</w:t>
        </w:r>
      </w:hyperlink>
      <w:r>
        <w:t xml:space="preserve"> </w:t>
      </w:r>
      <w:hyperlink r:id="rId66">
        <w:r>
          <w:rPr>
            <w:color w:val="27617A"/>
            <w:u w:val="single"/>
          </w:rPr>
          <w:t>[R042]</w:t>
        </w:r>
      </w:hyperlink>
      <w:r>
        <w:t xml:space="preserve"> </w:t>
      </w:r>
      <w:hyperlink r:id="rId67">
        <w:r>
          <w:rPr>
            <w:color w:val="27617A"/>
            <w:u w:val="single"/>
          </w:rPr>
          <w:t>[R056]</w:t>
        </w:r>
      </w:hyperlink>
      <w:r>
        <w:t xml:space="preserve"> </w:t>
      </w:r>
      <w:hyperlink r:id="rId68">
        <w:r>
          <w:rPr>
            <w:color w:val="27617A"/>
            <w:u w:val="single"/>
          </w:rPr>
          <w:t>[R057]</w:t>
        </w:r>
      </w:hyperlink>
    </w:p>
    <w:p>
      <w:r>
        <w:rPr>
          <w:b w:val="0"/>
        </w:rPr>
      </w:r>
      <w:r>
        <w:rPr>
          <w:b/>
        </w:rPr>
        <w:t>Утраченный Vivṛti.</w:t>
      </w:r>
      <w:r>
        <w:rPr>
          <w:b w:val="0"/>
        </w:rPr>
        <w:t xml:space="preserve"> R043 ведёт к защищённой публикации конкретного фрагмента 2017 года; R061 — к открытой публикации Ratié 2020 под CC BY-NC 4.0. Это разные части работы над фрагментами, не дубли и не полный Vivṛti. В R061 официальный OA-интерфейс и лицензия проверены, но инструмент получил оболочку просмотрщика вместо содержимого PDF; скачивание описано как предложенный путь, не выполненная колляция.</w:t>
      </w:r>
      <w:r>
        <w:t xml:space="preserve"> </w:t>
      </w:r>
      <w:hyperlink r:id="rId17">
        <w:r>
          <w:rPr>
            <w:color w:val="27617A"/>
            <w:u w:val="single"/>
          </w:rPr>
          <w:t>[R043]</w:t>
        </w:r>
      </w:hyperlink>
      <w:r>
        <w:t xml:space="preserve"> </w:t>
      </w:r>
      <w:hyperlink r:id="rId18">
        <w:r>
          <w:rPr>
            <w:color w:val="27617A"/>
            <w:u w:val="single"/>
          </w:rPr>
          <w:t>[R061]</w:t>
        </w:r>
      </w:hyperlink>
    </w:p>
    <w:p>
      <w:r>
        <w:rPr>
          <w:b w:val="0"/>
        </w:rPr>
      </w:r>
      <w:r>
        <w:rPr>
          <w:b/>
        </w:rPr>
        <w:t>Свидетели и свобода использования.</w:t>
      </w:r>
      <w:r>
        <w:rPr>
          <w:b w:val="0"/>
        </w:rPr>
        <w:t xml:space="preserve"> Для расширения комментарийного корпуса особенно полезна Īśvarapratyabhijñākaumudī по Srinagar 1089 (R050). IFP 762 / Madras R.4353 (R083) — полезный отдельный источник, но его авторство/тождество с Bhāskarī ещё не установлено. Для нового перевода ToS наиболее ясная разрешительная основа — лицензированные TXT конкретного объёма; GRETIL/Torella не следует без проверки считать столь же чистой редакционной основой.</w:t>
      </w:r>
      <w:r>
        <w:t xml:space="preserve"> </w:t>
      </w:r>
      <w:hyperlink r:id="rId37">
        <w:r>
          <w:rPr>
            <w:color w:val="27617A"/>
            <w:u w:val="single"/>
          </w:rPr>
          <w:t>[R050]</w:t>
        </w:r>
      </w:hyperlink>
      <w:r>
        <w:t xml:space="preserve"> </w:t>
      </w:r>
      <w:hyperlink r:id="rId38">
        <w:r>
          <w:rPr>
            <w:color w:val="27617A"/>
            <w:u w:val="single"/>
          </w:rPr>
          <w:t>[R083]</w:t>
        </w:r>
      </w:hyperlink>
      <w:r>
        <w:t xml:space="preserve"> </w:t>
      </w:r>
      <w:hyperlink r:id="rId52">
        <w:r>
          <w:rPr>
            <w:color w:val="27617A"/>
            <w:u w:val="single"/>
          </w:rPr>
          <w:t>[R002]</w:t>
        </w:r>
      </w:hyperlink>
      <w:r>
        <w:t xml:space="preserve"> </w:t>
      </w:r>
      <w:hyperlink r:id="rId16">
        <w:r>
          <w:rPr>
            <w:color w:val="27617A"/>
            <w:u w:val="single"/>
          </w:rPr>
          <w:t>[R034]</w:t>
        </w:r>
      </w:hyperlink>
    </w:p>
    <w:p>
      <w:pPr>
        <w:pStyle w:val="Heading2"/>
      </w:pPr>
      <w:r>
        <w:t>3.2. Śivasūtra, Spanda и школьные руководства</w:t>
      </w:r>
    </w:p>
    <w:p>
      <w:r>
        <w:rPr>
          <w:b w:val="0"/>
        </w:rPr>
      </w:r>
      <w:r>
        <w:rPr>
          <w:b/>
        </w:rPr>
        <w:t>Оригиналы.</w:t>
      </w:r>
      <w:r>
        <w:rPr>
          <w:b w:val="0"/>
        </w:rPr>
        <w:t xml:space="preserve"> Muktabodha позволяет сравнивать Śivasūtra с Vārttika Бхаскары, Vimarśinī Кшемараджи и отдельной рукописной Vṛtti. Для Spanda доступны объяснения Каллаты и Рамакантхи, Spandanirṇaya, Spandapradīpikā и Spandasandoha. Исправленная электронная версия и ранняя KSTS-основа записаны раздельно. Полнота Spandasandoha означает весь этот комментарий к первой строфе, не объяснение всех Spandakārikā.</w:t>
      </w:r>
      <w:r>
        <w:t xml:space="preserve"> </w:t>
      </w:r>
      <w:hyperlink r:id="rId69">
        <w:r>
          <w:rPr>
            <w:color w:val="27617A"/>
            <w:u w:val="single"/>
          </w:rPr>
          <w:t>[R010]</w:t>
        </w:r>
      </w:hyperlink>
      <w:r>
        <w:t xml:space="preserve"> </w:t>
      </w:r>
      <w:hyperlink r:id="rId70">
        <w:r>
          <w:rPr>
            <w:color w:val="27617A"/>
            <w:u w:val="single"/>
          </w:rPr>
          <w:t>[R011]</w:t>
        </w:r>
      </w:hyperlink>
      <w:r>
        <w:t xml:space="preserve"> </w:t>
      </w:r>
      <w:hyperlink r:id="rId36">
        <w:r>
          <w:rPr>
            <w:color w:val="27617A"/>
            <w:u w:val="single"/>
          </w:rPr>
          <w:t>[R012]</w:t>
        </w:r>
      </w:hyperlink>
      <w:r>
        <w:t xml:space="preserve"> </w:t>
      </w:r>
      <w:hyperlink r:id="rId71">
        <w:r>
          <w:rPr>
            <w:color w:val="27617A"/>
            <w:u w:val="single"/>
          </w:rPr>
          <w:t>[R021]</w:t>
        </w:r>
      </w:hyperlink>
      <w:r>
        <w:t xml:space="preserve"> </w:t>
      </w:r>
      <w:hyperlink r:id="rId72">
        <w:r>
          <w:rPr>
            <w:color w:val="27617A"/>
            <w:u w:val="single"/>
          </w:rPr>
          <w:t>[R022]</w:t>
        </w:r>
      </w:hyperlink>
      <w:r>
        <w:t xml:space="preserve"> </w:t>
      </w:r>
      <w:hyperlink r:id="rId73">
        <w:r>
          <w:rPr>
            <w:color w:val="27617A"/>
            <w:u w:val="single"/>
          </w:rPr>
          <w:t>[R023]</w:t>
        </w:r>
      </w:hyperlink>
      <w:r>
        <w:t xml:space="preserve"> </w:t>
      </w:r>
      <w:hyperlink r:id="rId74">
        <w:r>
          <w:rPr>
            <w:color w:val="27617A"/>
            <w:u w:val="single"/>
          </w:rPr>
          <w:t>[R024]</w:t>
        </w:r>
      </w:hyperlink>
      <w:r>
        <w:t xml:space="preserve"> </w:t>
      </w:r>
      <w:hyperlink r:id="rId75">
        <w:r>
          <w:rPr>
            <w:color w:val="27617A"/>
            <w:u w:val="single"/>
          </w:rPr>
          <w:t>[R025]</w:t>
        </w:r>
      </w:hyperlink>
    </w:p>
    <w:p>
      <w:r>
        <w:rPr>
          <w:b w:val="0"/>
        </w:rPr>
      </w:r>
      <w:r>
        <w:rPr>
          <w:b/>
        </w:rPr>
        <w:t>Переводы.</w:t>
      </w:r>
      <w:r>
        <w:rPr>
          <w:b w:val="0"/>
        </w:rPr>
        <w:t xml:space="preserve"> Для чтения по-английски найдены официальные позиции Jaideva Singh: Śiva Sūtras и Spanda Kārikās; карточки соответствующих изданий указывают backorder. The Stanzas on Vibration Дычковского идентифицирована как отдельный переводной вариант, но проверенная страница продавца показывает Sold Out. Наличие книги на сайте не приравнено к возможности немедленно её получить. Для Pratyabhijñāhṛdaya есть открытый оригинал и отдельная защищённая английская версия Singh.</w:t>
      </w:r>
      <w:r>
        <w:t xml:space="preserve"> </w:t>
      </w:r>
      <w:hyperlink r:id="rId76">
        <w:r>
          <w:rPr>
            <w:color w:val="27617A"/>
            <w:u w:val="single"/>
          </w:rPr>
          <w:t>[R065]</w:t>
        </w:r>
      </w:hyperlink>
      <w:r>
        <w:t xml:space="preserve"> </w:t>
      </w:r>
      <w:hyperlink r:id="rId77">
        <w:r>
          <w:rPr>
            <w:color w:val="27617A"/>
            <w:u w:val="single"/>
          </w:rPr>
          <w:t>[R066]</w:t>
        </w:r>
      </w:hyperlink>
      <w:r>
        <w:t xml:space="preserve"> </w:t>
      </w:r>
      <w:hyperlink r:id="rId78">
        <w:r>
          <w:rPr>
            <w:color w:val="27617A"/>
            <w:u w:val="single"/>
          </w:rPr>
          <w:t>[R068]</w:t>
        </w:r>
      </w:hyperlink>
      <w:r>
        <w:t xml:space="preserve"> </w:t>
      </w:r>
      <w:hyperlink r:id="rId79">
        <w:r>
          <w:rPr>
            <w:color w:val="27617A"/>
            <w:u w:val="single"/>
          </w:rPr>
          <w:t>[R006]</w:t>
        </w:r>
      </w:hyperlink>
      <w:r>
        <w:t xml:space="preserve"> </w:t>
      </w:r>
      <w:hyperlink r:id="rId80">
        <w:r>
          <w:rPr>
            <w:color w:val="27617A"/>
            <w:u w:val="single"/>
          </w:rPr>
          <w:t>[R047]</w:t>
        </w:r>
      </w:hyperlink>
    </w:p>
    <w:p>
      <w:r>
        <w:rPr>
          <w:b w:val="0"/>
        </w:rPr>
      </w:r>
      <w:r>
        <w:rPr>
          <w:b/>
        </w:rPr>
        <w:t>Более поздняя экзегеза.</w:t>
      </w:r>
      <w:r>
        <w:rPr>
          <w:b w:val="0"/>
        </w:rPr>
        <w:t xml:space="preserve"> GRETIL-версия Śivasūtravārttika Варадараджи/Кришнадасы не смешана с Vārttika Бхаскары. Она открыто читается, но неоднозначные исторические уведомления требуют ручной проверки повторного использования. Короткие оригиналы Parāprāveśikā, Vātūlanāthasūtra и Ṣaṭtriṃśattattvasandoha дают дополнительные компактные входы в школьный корпус под лицензией соответствующих TXT.</w:t>
      </w:r>
      <w:r>
        <w:t xml:space="preserve"> </w:t>
      </w:r>
      <w:hyperlink r:id="rId81">
        <w:r>
          <w:rPr>
            <w:color w:val="27617A"/>
            <w:u w:val="single"/>
          </w:rPr>
          <w:t>[R081]</w:t>
        </w:r>
      </w:hyperlink>
      <w:r>
        <w:t xml:space="preserve"> </w:t>
      </w:r>
      <w:hyperlink r:id="rId82">
        <w:r>
          <w:rPr>
            <w:color w:val="27617A"/>
            <w:u w:val="single"/>
          </w:rPr>
          <w:t>[R020]</w:t>
        </w:r>
      </w:hyperlink>
      <w:r>
        <w:t xml:space="preserve"> </w:t>
      </w:r>
      <w:hyperlink r:id="rId30">
        <w:r>
          <w:rPr>
            <w:color w:val="27617A"/>
            <w:u w:val="single"/>
          </w:rPr>
          <w:t>[R051]</w:t>
        </w:r>
      </w:hyperlink>
      <w:r>
        <w:t xml:space="preserve"> </w:t>
      </w:r>
      <w:hyperlink r:id="rId31">
        <w:r>
          <w:rPr>
            <w:color w:val="27617A"/>
            <w:u w:val="single"/>
          </w:rPr>
          <w:t>[R053]</w:t>
        </w:r>
      </w:hyperlink>
    </w:p>
    <w:p>
      <w:pPr>
        <w:pStyle w:val="Heading2"/>
      </w:pPr>
      <w:r>
        <w:t>3.3. Tantrāloka, Tantrasāra и Paramārthasāra</w:t>
      </w:r>
    </w:p>
    <w:p>
      <w:r>
        <w:rPr>
          <w:b w:val="0"/>
        </w:rPr>
      </w:r>
      <w:r>
        <w:rPr>
          <w:b/>
        </w:rPr>
        <w:t>Полный санскритский рабочий слой Tantrāloka с Джаяратхой</w:t>
      </w:r>
      <w:r>
        <w:rPr>
          <w:b w:val="0"/>
        </w:rPr>
        <w:t xml:space="preserve"> — комплект TXT R004. Файлы одного издания объединены в один маршрут; старый печатный и современный цифровой слои обозначены. Внешний рекламный footer, встретившийся в файле, исключён из разрешённого содержательного scope. Альтернативный коренной текст GRETIL (R039) сохранён для чтения, но не выбран как бесспорная база зеркалирования из-за дополнительных уведомлений.</w:t>
      </w:r>
      <w:r>
        <w:t xml:space="preserve"> </w:t>
      </w:r>
      <w:hyperlink r:id="rId15">
        <w:r>
          <w:rPr>
            <w:color w:val="27617A"/>
            <w:u w:val="single"/>
          </w:rPr>
          <w:t>[R004]</w:t>
        </w:r>
      </w:hyperlink>
      <w:r>
        <w:t xml:space="preserve"> </w:t>
      </w:r>
      <w:hyperlink r:id="rId83">
        <w:r>
          <w:rPr>
            <w:color w:val="27617A"/>
            <w:u w:val="single"/>
          </w:rPr>
          <w:t>[R039]</w:t>
        </w:r>
      </w:hyperlink>
    </w:p>
    <w:p>
      <w:r>
        <w:rPr>
          <w:b w:val="0"/>
        </w:rPr>
      </w:r>
      <w:r>
        <w:rPr>
          <w:b/>
        </w:rPr>
        <w:t>Современные переводы.</w:t>
      </w:r>
      <w:r>
        <w:rPr>
          <w:b w:val="0"/>
        </w:rPr>
        <w:t xml:space="preserve"> Авторский сайт Дычковского подтверждает завершённую одиннадцатитомную серию перевода Tantrāloka/Viveka по 37 главам и даёт оглавления/маршруты покупки. Отдельно сохранён итальянский Gnoli у Adelphi. Французский Silburn–Padoux охватывает только главы I–V: BnF предлагает цифровую копию Gallica intra muros с исследовательской картой, а не свободный сетевой PDF.</w:t>
      </w:r>
      <w:r>
        <w:t xml:space="preserve"> </w:t>
      </w:r>
      <w:hyperlink r:id="rId84">
        <w:r>
          <w:rPr>
            <w:color w:val="27617A"/>
            <w:u w:val="single"/>
          </w:rPr>
          <w:t>[R045]</w:t>
        </w:r>
      </w:hyperlink>
      <w:r>
        <w:t xml:space="preserve"> </w:t>
      </w:r>
      <w:hyperlink r:id="rId85">
        <w:r>
          <w:rPr>
            <w:color w:val="27617A"/>
            <w:u w:val="single"/>
          </w:rPr>
          <w:t>[R064]</w:t>
        </w:r>
      </w:hyperlink>
      <w:r>
        <w:t xml:space="preserve"> </w:t>
      </w:r>
      <w:hyperlink r:id="rId86">
        <w:r>
          <w:rPr>
            <w:color w:val="27617A"/>
            <w:u w:val="single"/>
          </w:rPr>
          <w:t>[R071]</w:t>
        </w:r>
      </w:hyperlink>
    </w:p>
    <w:p>
      <w:r>
        <w:rPr>
          <w:b w:val="0"/>
        </w:rPr>
      </w:r>
      <w:r>
        <w:rPr>
          <w:b/>
        </w:rPr>
        <w:t>Сжатые изложения.</w:t>
      </w:r>
      <w:r>
        <w:rPr>
          <w:b w:val="0"/>
        </w:rPr>
        <w:t xml:space="preserve"> Tantrasāra доступна как оригинальный TXT и как отдельный современный перевод H. N. Chakravarty под редакцией Boris Marjanovic у Indica Books. Для Paramārthasāra с Йогараджей сравниваются старая открытая электронная основа, современный пересмотренный GRETIL-текст и научный перевод Bansat-Boudon–Tripathi в ограниченном preview. Перевод Barnett 1910 найден в библиотечном каталоге Wellcome: это важный ранний вариант, но не подтверждённая бесплатная оцифровка.</w:t>
      </w:r>
      <w:r>
        <w:t xml:space="preserve"> </w:t>
      </w:r>
      <w:hyperlink r:id="rId87">
        <w:r>
          <w:rPr>
            <w:color w:val="27617A"/>
            <w:u w:val="single"/>
          </w:rPr>
          <w:t>[R005]</w:t>
        </w:r>
      </w:hyperlink>
      <w:r>
        <w:t xml:space="preserve"> </w:t>
      </w:r>
      <w:hyperlink r:id="rId88">
        <w:r>
          <w:rPr>
            <w:color w:val="27617A"/>
            <w:u w:val="single"/>
          </w:rPr>
          <w:t>[R078]</w:t>
        </w:r>
      </w:hyperlink>
      <w:r>
        <w:t xml:space="preserve"> </w:t>
      </w:r>
      <w:hyperlink r:id="rId44">
        <w:r>
          <w:rPr>
            <w:color w:val="27617A"/>
            <w:u w:val="single"/>
          </w:rPr>
          <w:t>[R013]</w:t>
        </w:r>
      </w:hyperlink>
      <w:r>
        <w:t xml:space="preserve"> </w:t>
      </w:r>
      <w:hyperlink r:id="rId89">
        <w:r>
          <w:rPr>
            <w:color w:val="27617A"/>
            <w:u w:val="single"/>
          </w:rPr>
          <w:t>[R037]</w:t>
        </w:r>
      </w:hyperlink>
      <w:r>
        <w:t xml:space="preserve"> </w:t>
      </w:r>
      <w:hyperlink r:id="rId45">
        <w:r>
          <w:rPr>
            <w:color w:val="27617A"/>
            <w:u w:val="single"/>
          </w:rPr>
          <w:t>[R069]</w:t>
        </w:r>
      </w:hyperlink>
      <w:r>
        <w:t xml:space="preserve"> </w:t>
      </w:r>
      <w:hyperlink r:id="rId90">
        <w:r>
          <w:rPr>
            <w:color w:val="27617A"/>
            <w:u w:val="single"/>
          </w:rPr>
          <w:t>[R048]</w:t>
        </w:r>
      </w:hyperlink>
    </w:p>
    <w:p>
      <w:r>
        <w:rPr>
          <w:b w:val="0"/>
        </w:rPr>
        <w:t>Рукописное факсимиле не подменяется ни одним из этих e-texts. Новый проект критического Tantrāloka, названный в DR, оставлен задачей G026 до установления реально выпущенного материала; рабочий реестр не изображает будущую редакцию уже доступной.</w:t>
      </w:r>
    </w:p>
    <w:p>
      <w:pPr>
        <w:pStyle w:val="Heading2"/>
      </w:pPr>
      <w:r>
        <w:t>3.4. Parātriṃśikā и источники Trika</w:t>
      </w:r>
    </w:p>
    <w:p>
      <w:r>
        <w:rPr>
          <w:b w:val="0"/>
        </w:rPr>
        <w:t>Parātriṃśikā с Vivaraṇa Абхинавагупты и краткой Vṛtti даёт прямые бесплатные санскритские входы; Parātrīśikātātparyadīpikā с Śāktavijñāna расширяет конкретную комментарийную семью. Перевод Singh 1988 идентифицирован библиотекой Wellcome, но его файл не объявлен открытым. Два пути к объяснению Лакшмирамы полезны именно для дальнейшей текстологической сверки: печатная основа имеет обрыв вступления, берлинский свидетель требует проверки порядка и состава.</w:t>
      </w:r>
      <w:r>
        <w:t xml:space="preserve"> </w:t>
      </w:r>
      <w:hyperlink r:id="rId21">
        <w:r>
          <w:rPr>
            <w:color w:val="27617A"/>
            <w:u w:val="single"/>
          </w:rPr>
          <w:t>[R016]</w:t>
        </w:r>
      </w:hyperlink>
      <w:r>
        <w:t xml:space="preserve"> </w:t>
      </w:r>
      <w:hyperlink r:id="rId91">
        <w:r>
          <w:rPr>
            <w:color w:val="27617A"/>
            <w:u w:val="single"/>
          </w:rPr>
          <w:t>[R017]</w:t>
        </w:r>
      </w:hyperlink>
      <w:r>
        <w:t xml:space="preserve"> </w:t>
      </w:r>
      <w:hyperlink r:id="rId92">
        <w:r>
          <w:rPr>
            <w:color w:val="27617A"/>
            <w:u w:val="single"/>
          </w:rPr>
          <w:t>[R052]</w:t>
        </w:r>
      </w:hyperlink>
      <w:r>
        <w:t xml:space="preserve"> </w:t>
      </w:r>
      <w:hyperlink r:id="rId93">
        <w:r>
          <w:rPr>
            <w:color w:val="27617A"/>
            <w:u w:val="single"/>
          </w:rPr>
          <w:t>[R049]</w:t>
        </w:r>
      </w:hyperlink>
      <w:r>
        <w:t xml:space="preserve"> </w:t>
      </w:r>
      <w:hyperlink r:id="rId53">
        <w:r>
          <w:rPr>
            <w:color w:val="27617A"/>
            <w:u w:val="single"/>
          </w:rPr>
          <w:t>[R084]</w:t>
        </w:r>
      </w:hyperlink>
      <w:r>
        <w:t xml:space="preserve"> </w:t>
      </w:r>
      <w:hyperlink r:id="rId39">
        <w:r>
          <w:rPr>
            <w:color w:val="27617A"/>
            <w:u w:val="single"/>
          </w:rPr>
          <w:t>[R085]</w:t>
        </w:r>
      </w:hyperlink>
    </w:p>
    <w:p>
      <w:r>
        <w:rPr>
          <w:b w:val="0"/>
        </w:rPr>
        <w:t>Для Mālinīvijayottara наиболее свободный рабочий санскритский слой — R015; наиболее специальный современный научный вариант — Vasudeva, ограниченный явно названными главами. Для Siddhayogeśvarīmata авторский депозит Törzsök сохраняет путь к критическому TEXT-компоненту после регистрации; скачивание под аккаунтом не выполнялось. Svacchanda и Netra с Кшемараджей доступны как крупные TXT-комплексы, но их лицензия не означает право зеркалировать печатные книги, с которых готовились e-texts.</w:t>
      </w:r>
      <w:r>
        <w:t xml:space="preserve"> </w:t>
      </w:r>
      <w:hyperlink r:id="rId46">
        <w:r>
          <w:rPr>
            <w:color w:val="27617A"/>
            <w:u w:val="single"/>
          </w:rPr>
          <w:t>[R015]</w:t>
        </w:r>
      </w:hyperlink>
      <w:r>
        <w:t xml:space="preserve"> </w:t>
      </w:r>
      <w:hyperlink r:id="rId47">
        <w:r>
          <w:rPr>
            <w:color w:val="27617A"/>
            <w:u w:val="single"/>
          </w:rPr>
          <w:t>[R044]</w:t>
        </w:r>
      </w:hyperlink>
      <w:r>
        <w:t xml:space="preserve"> </w:t>
      </w:r>
      <w:hyperlink r:id="rId48">
        <w:r>
          <w:rPr>
            <w:color w:val="27617A"/>
            <w:u w:val="single"/>
          </w:rPr>
          <w:t>[R079]</w:t>
        </w:r>
      </w:hyperlink>
      <w:r>
        <w:t xml:space="preserve"> </w:t>
      </w:r>
      <w:hyperlink r:id="rId25">
        <w:r>
          <w:rPr>
            <w:color w:val="27617A"/>
            <w:u w:val="single"/>
          </w:rPr>
          <w:t>[R029]</w:t>
        </w:r>
      </w:hyperlink>
      <w:r>
        <w:t xml:space="preserve"> </w:t>
      </w:r>
      <w:hyperlink r:id="rId26">
        <w:r>
          <w:rPr>
            <w:color w:val="27617A"/>
            <w:u w:val="single"/>
          </w:rPr>
          <w:t>[R030]</w:t>
        </w:r>
      </w:hyperlink>
    </w:p>
    <w:p>
      <w:pPr>
        <w:pStyle w:val="Heading2"/>
      </w:pPr>
      <w:r>
        <w:t>3.5. Vijñānabhairava: особенно сильный многоязычный вход</w:t>
      </w:r>
    </w:p>
    <w:p>
      <w:r>
        <w:rPr>
          <w:b w:val="0"/>
        </w:rPr>
      </w:r>
      <w:r>
        <w:rPr>
          <w:b/>
        </w:rPr>
        <w:t>Бесплатный оригинальный слой</w:t>
      </w:r>
      <w:r>
        <w:rPr>
          <w:b w:val="0"/>
        </w:rPr>
        <w:t xml:space="preserve"> представлен отдельным рукописным транскриптом и текстом с Vijñānakaumudī Анандабхатты в Muktabodha. </w:t>
      </w:r>
      <w:r>
        <w:rPr>
          <w:b/>
        </w:rPr>
        <w:t>Скан старого KSTS</w:t>
      </w:r>
      <w:r>
        <w:rPr>
          <w:b w:val="0"/>
        </w:rPr>
        <w:t xml:space="preserve"> с Кшемараджей и Шивопадхьяей обнаружен в HathiTrust: каталог объявляет Full View, однако страницы просмотрщика инструмент не отобразил. Поэтому R080 имеет coverage=unknown и низкую уверенность, а не пометку о проверенном полном факсимиле.</w:t>
      </w:r>
      <w:r>
        <w:t xml:space="preserve"> </w:t>
      </w:r>
      <w:hyperlink r:id="rId22">
        <w:r>
          <w:rPr>
            <w:color w:val="27617A"/>
            <w:u w:val="single"/>
          </w:rPr>
          <w:t>[R018]</w:t>
        </w:r>
      </w:hyperlink>
      <w:r>
        <w:t xml:space="preserve"> </w:t>
      </w:r>
      <w:hyperlink r:id="rId94">
        <w:r>
          <w:rPr>
            <w:color w:val="27617A"/>
            <w:u w:val="single"/>
          </w:rPr>
          <w:t>[R019]</w:t>
        </w:r>
      </w:hyperlink>
      <w:r>
        <w:t xml:space="preserve"> </w:t>
      </w:r>
      <w:hyperlink r:id="rId54">
        <w:r>
          <w:rPr>
            <w:color w:val="27617A"/>
            <w:u w:val="single"/>
          </w:rPr>
          <w:t>[R080]</w:t>
        </w:r>
      </w:hyperlink>
    </w:p>
    <w:p>
      <w:r>
        <w:rPr>
          <w:b w:val="0"/>
        </w:rPr>
      </w:r>
      <w:r>
        <w:rPr>
          <w:b/>
        </w:rPr>
        <w:t>Лучший проверенный свободный русский вариант — R082.</w:t>
      </w:r>
      <w:r>
        <w:rPr>
          <w:b w:val="0"/>
        </w:rPr>
        <w:t xml:space="preserve"> В. П. Иванов, «Письменные памятники Востока», 2024, 21(4), с.5–21, и 2025, 22(1), с.5–21: первая часть переводит строфы 1–64, вторая — 65–163. Открыты обе страницы и оба PDF. Это полный перевод коренного текста с научными примечаниями, но не полные переводы всех комментариев, использованных автором. Обе публикации прямо лицензированы CC BY 4.0.</w:t>
      </w:r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</w:p>
    <w:p>
      <w:r>
        <w:rPr>
          <w:b w:val="0"/>
        </w:rPr>
        <w:t xml:space="preserve">Индивидуальные подтверждения двух частей: </w:t>
      </w:r>
      <w:hyperlink r:id="rId12">
        <w:r>
          <w:rPr>
            <w:color w:val="27617A"/>
            <w:u w:val="single"/>
          </w:rPr>
          <w:t>часть 1 / DOI 10.55512/WMO637173</w:t>
        </w:r>
      </w:hyperlink>
      <w:r>
        <w:t xml:space="preserve">; </w:t>
      </w:r>
      <w:hyperlink r:id="rId95">
        <w:r>
          <w:rPr>
            <w:color w:val="27617A"/>
            <w:u w:val="single"/>
          </w:rPr>
          <w:t>часть 2 / DOI 10.55512/WMO656087</w:t>
        </w:r>
      </w:hyperlink>
    </w:p>
    <w:p>
      <w:r>
        <w:rPr>
          <w:b w:val="0"/>
        </w:rPr>
        <w:t>По-английски сохранён современный Singh; по-французски — Silburn 1961 с библиотечным Borrowing request в Sapienza. Это реальный библиотечный путь, не обещание выдачи любому пользователю. Для зеркала и публичного русского полнотекстового поиска R082 имеет более ясные условия, чем защищённые переводные книги.</w:t>
      </w:r>
      <w:r>
        <w:t xml:space="preserve"> </w:t>
      </w:r>
      <w:hyperlink r:id="rId96">
        <w:r>
          <w:rPr>
            <w:color w:val="27617A"/>
            <w:u w:val="single"/>
          </w:rPr>
          <w:t>[R067]</w:t>
        </w:r>
      </w:hyperlink>
      <w:r>
        <w:t xml:space="preserve"> </w:t>
      </w:r>
      <w:hyperlink r:id="rId97">
        <w:r>
          <w:rPr>
            <w:color w:val="27617A"/>
            <w:u w:val="single"/>
          </w:rPr>
          <w:t>[R070]</w:t>
        </w:r>
      </w:hyperlink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</w:p>
    <w:p>
      <w:pPr>
        <w:pStyle w:val="Heading2"/>
      </w:pPr>
      <w:r>
        <w:t>3.6. Эстетика, гимны и поздний ореол</w:t>
      </w:r>
    </w:p>
    <w:p>
      <w:r>
        <w:rPr>
          <w:b w:val="0"/>
        </w:rPr>
        <w:t>Для Dhvanyāloka доступен полный коренной текст, но проверенный композит с Locana/Bālapriyā ограничен первым Uddyota и содержит предупреждение об отсутствии вычитки. Полный английский Ingalls–Masson–Patwardhan идентифицирован по университетскому каталогу; доступные данные не дают права разместить его копию. В Nāṭyaśāstra/Abhinavabhāratī электронное покрытие заканчивается главой 27; первый том особенно полезен для rasa/bhāva, но не закрывает весь корпус.</w:t>
      </w:r>
      <w:r>
        <w:t xml:space="preserve"> </w:t>
      </w:r>
      <w:hyperlink r:id="rId41">
        <w:r>
          <w:rPr>
            <w:color w:val="27617A"/>
            <w:u w:val="single"/>
          </w:rPr>
          <w:t>[R035]</w:t>
        </w:r>
      </w:hyperlink>
      <w:r>
        <w:t xml:space="preserve"> </w:t>
      </w:r>
      <w:hyperlink r:id="rId20">
        <w:r>
          <w:rPr>
            <w:color w:val="27617A"/>
            <w:u w:val="single"/>
          </w:rPr>
          <w:t>[R036]</w:t>
        </w:r>
      </w:hyperlink>
      <w:r>
        <w:t xml:space="preserve"> </w:t>
      </w:r>
      <w:hyperlink r:id="rId42">
        <w:r>
          <w:rPr>
            <w:color w:val="27617A"/>
            <w:u w:val="single"/>
          </w:rPr>
          <w:t>[R046]</w:t>
        </w:r>
      </w:hyperlink>
      <w:r>
        <w:t xml:space="preserve"> </w:t>
      </w:r>
      <w:hyperlink r:id="rId19">
        <w:r>
          <w:rPr>
            <w:color w:val="27617A"/>
            <w:u w:val="single"/>
          </w:rPr>
          <w:t>[R026]</w:t>
        </w:r>
      </w:hyperlink>
    </w:p>
    <w:p>
      <w:r>
        <w:rPr>
          <w:b w:val="0"/>
        </w:rPr>
        <w:t>Вход к отрицательной рецепции — Ruyyaka на второй Vimarśa Vyaktiviveka; это не полный текст Махимабхатты. Kāvyaprakāśa даёт дополнительное санскритское чтение той же поэтической семьи, с оговорками о современной исходной редакции. Старый английский Sarvadarśanasaṃgraha на Gutenberg полезен именно главой о Pratyabhijñā; он не заменяет ни IPK, ни её комментарии.</w:t>
      </w:r>
      <w:r>
        <w:t xml:space="preserve"> </w:t>
      </w:r>
      <w:hyperlink r:id="rId58">
        <w:r>
          <w:rPr>
            <w:color w:val="27617A"/>
            <w:u w:val="single"/>
          </w:rPr>
          <w:t>[R038]</w:t>
        </w:r>
      </w:hyperlink>
      <w:r>
        <w:t xml:space="preserve"> </w:t>
      </w:r>
      <w:hyperlink r:id="rId57">
        <w:r>
          <w:rPr>
            <w:color w:val="27617A"/>
            <w:u w:val="single"/>
          </w:rPr>
          <w:t>[R086]</w:t>
        </w:r>
      </w:hyperlink>
      <w:r>
        <w:t xml:space="preserve"> </w:t>
      </w:r>
      <w:hyperlink r:id="rId59">
        <w:r>
          <w:rPr>
            <w:color w:val="27617A"/>
            <w:u w:val="single"/>
          </w:rPr>
          <w:t>[R060]</w:t>
        </w:r>
      </w:hyperlink>
    </w:p>
    <w:p>
      <w:r>
        <w:rPr>
          <w:b w:val="0"/>
        </w:rPr>
        <w:t>Śivastotrāvalī, Stavacintāmaṇi, Bodhapañcadaśikā и Bhairavastava дают доктринально насыщенный поэтический/учебный слой. Для Krama и дальнейшей экзегезы полезны оба раздельно учтённых Mahānayaprakāśa и Mahārthamañjarī. Самые ясные пути скачивания и машинного чтения здесь — индивидуальные TXT с прямым CC-уведомлением; вся традиция гимнов или Krama этим набором не объявлена полностью покрытой.</w:t>
      </w:r>
      <w:r>
        <w:t xml:space="preserve"> </w:t>
      </w:r>
      <w:hyperlink r:id="rId23">
        <w:r>
          <w:rPr>
            <w:color w:val="27617A"/>
            <w:u w:val="single"/>
          </w:rPr>
          <w:t>[R027]</w:t>
        </w:r>
      </w:hyperlink>
      <w:r>
        <w:t xml:space="preserve"> </w:t>
      </w:r>
      <w:hyperlink r:id="rId24">
        <w:r>
          <w:rPr>
            <w:color w:val="27617A"/>
            <w:u w:val="single"/>
          </w:rPr>
          <w:t>[R028]</w:t>
        </w:r>
      </w:hyperlink>
      <w:r>
        <w:t xml:space="preserve"> </w:t>
      </w:r>
      <w:hyperlink r:id="rId34">
        <w:r>
          <w:rPr>
            <w:color w:val="27617A"/>
            <w:u w:val="single"/>
          </w:rPr>
          <w:t>[R074]</w:t>
        </w:r>
      </w:hyperlink>
      <w:r>
        <w:t xml:space="preserve"> </w:t>
      </w:r>
      <w:hyperlink r:id="rId35">
        <w:r>
          <w:rPr>
            <w:color w:val="27617A"/>
            <w:u w:val="single"/>
          </w:rPr>
          <w:t>[R075]</w:t>
        </w:r>
      </w:hyperlink>
      <w:r>
        <w:t xml:space="preserve"> </w:t>
      </w:r>
      <w:hyperlink r:id="rId27">
        <w:r>
          <w:rPr>
            <w:color w:val="27617A"/>
            <w:u w:val="single"/>
          </w:rPr>
          <w:t>[R031]</w:t>
        </w:r>
      </w:hyperlink>
      <w:r>
        <w:t xml:space="preserve"> </w:t>
      </w:r>
      <w:hyperlink r:id="rId28">
        <w:r>
          <w:rPr>
            <w:color w:val="27617A"/>
            <w:u w:val="single"/>
          </w:rPr>
          <w:t>[R032]</w:t>
        </w:r>
      </w:hyperlink>
      <w:r>
        <w:t xml:space="preserve"> </w:t>
      </w:r>
      <w:hyperlink r:id="rId29">
        <w:r>
          <w:rPr>
            <w:color w:val="27617A"/>
            <w:u w:val="single"/>
          </w:rPr>
          <w:t>[R033]</w:t>
        </w:r>
      </w:hyperlink>
    </w:p>
    <w:p>
      <w:pPr>
        <w:pStyle w:val="Heading1"/>
        <w:pageBreakBefore w:val="0"/>
        <w:spacing w:before="340"/>
      </w:pPr>
      <w:r>
        <w:t>4. Карта прав и практического использования</w:t>
      </w:r>
    </w:p>
    <w:p>
      <w:pPr>
        <w:pStyle w:val="Heading2"/>
      </w:pPr>
      <w:r>
        <w:t>4.1. Что потенциально можно размещать у ToS</w:t>
      </w:r>
    </w:p>
    <w:p>
      <w:r>
        <w:rPr>
          <w:b w:val="0"/>
        </w:rPr>
      </w:r>
      <w:r>
        <w:rPr>
          <w:b/>
        </w:rPr>
        <w:t>CC BY 4.0: современный русский перевод Vijñānabhairava.</w:t>
      </w:r>
      <w:r>
        <w:rPr>
          <w:b w:val="0"/>
        </w:rPr>
        <w:t xml:space="preserve"> В пределах двух статей R082 ToS может сохранять и распространять PDF/текст с атрибуцией автора, публикации и лицензии, указывать изменения и использовать текст для поиска. NC или ND у этих item-level уведомлений нет. Лицензия статей не распространяется на полные книги и комментарии, на которые ссылается переводчик. Тег OCR_OK относится только к этим PDF; поскольку текстовый слой уже имеется, OCR обычно не нужен.</w:t>
      </w:r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</w:p>
    <w:p>
      <w:r>
        <w:rPr>
          <w:b w:val="0"/>
        </w:rPr>
      </w:r>
      <w:r>
        <w:rPr>
          <w:b/>
        </w:rPr>
        <w:t>CC BY-NC 4.0: электронные оригиналы Muktabodha.</w:t>
      </w:r>
      <w:r>
        <w:rPr>
          <w:b w:val="0"/>
        </w:rPr>
        <w:t xml:space="preserve"> Основная масса практически свободного санскритского корпуса может быть использована для некоммерческого зеркала и собственных производных работ с атрибуцией. Для каждого файла проверено отдельное уведомление; положительные теги не предоставлены автоматически всему сайту. Следует сохранять заголовок, номер M/I, редакционную основу, вкладчика и изменения. Дополнительная атрибуция IFP обязательна там, где это предусмотрено условиями.</w:t>
      </w:r>
      <w:r>
        <w:t xml:space="preserve"> </w:t>
      </w:r>
      <w:hyperlink r:id="rId13">
        <w:r>
          <w:rPr>
            <w:color w:val="27617A"/>
            <w:u w:val="single"/>
          </w:rPr>
          <w:t>[R001]</w:t>
        </w:r>
      </w:hyperlink>
      <w:r>
        <w:t xml:space="preserve"> </w:t>
      </w:r>
      <w:hyperlink r:id="rId15">
        <w:r>
          <w:rPr>
            <w:color w:val="27617A"/>
            <w:u w:val="single"/>
          </w:rPr>
          <w:t>[R004]</w:t>
        </w:r>
      </w:hyperlink>
      <w:r>
        <w:t xml:space="preserve"> </w:t>
      </w:r>
      <w:hyperlink r:id="rId98">
        <w:r>
          <w:rPr>
            <w:color w:val="27617A"/>
            <w:u w:val="single"/>
          </w:rPr>
          <w:t>[R087]</w:t>
        </w:r>
      </w:hyperlink>
    </w:p>
    <w:p>
      <w:r>
        <w:rPr>
          <w:b w:val="0"/>
        </w:rPr>
      </w:r>
      <w:r>
        <w:rPr>
          <w:b/>
        </w:rPr>
        <w:t>CC BY-NC-SA 4.0: проверенные GRETIL-объекты.</w:t>
      </w:r>
      <w:r>
        <w:rPr>
          <w:b w:val="0"/>
        </w:rPr>
        <w:t xml:space="preserve"> Для R038 явное разрешение относится только к опубликованному фрагменту комментария Руйяки; распространяемая переработка требует совместимой ShareAlike-лицензии. Другие GRETIL-страницы могут иметь такую же CC-шапку, но современную критическую основу либо конфликтующие уведомления; в этих случаях действует RIGHTS_REVIEW_REQUIRED и автоматическое зеркало не рекомендовано.</w:t>
      </w:r>
      <w:r>
        <w:t xml:space="preserve"> </w:t>
      </w:r>
      <w:hyperlink r:id="rId58">
        <w:r>
          <w:rPr>
            <w:color w:val="27617A"/>
            <w:u w:val="single"/>
          </w:rPr>
          <w:t>[R038]</w:t>
        </w:r>
      </w:hyperlink>
      <w:r>
        <w:t xml:space="preserve"> </w:t>
      </w:r>
      <w:hyperlink r:id="rId16">
        <w:r>
          <w:rPr>
            <w:color w:val="27617A"/>
            <w:u w:val="single"/>
          </w:rPr>
          <w:t>[R034]</w:t>
        </w:r>
      </w:hyperlink>
      <w:r>
        <w:t xml:space="preserve"> </w:t>
      </w:r>
      <w:hyperlink r:id="rId83">
        <w:r>
          <w:rPr>
            <w:color w:val="27617A"/>
            <w:u w:val="single"/>
          </w:rPr>
          <w:t>[R039]</w:t>
        </w:r>
      </w:hyperlink>
      <w:r>
        <w:t xml:space="preserve"> </w:t>
      </w:r>
      <w:hyperlink r:id="rId81">
        <w:r>
          <w:rPr>
            <w:color w:val="27617A"/>
            <w:u w:val="single"/>
          </w:rPr>
          <w:t>[R081]</w:t>
        </w:r>
      </w:hyperlink>
    </w:p>
    <w:p>
      <w:r>
        <w:rPr>
          <w:b w:val="0"/>
        </w:rPr>
        <w:t>Отдельная NC-публикация фрагментов Vivṛti (R061) включена на основании официальной item-level лицензии. Её разрешительный статус не устраняет техническую необходимость получить и проверить сам текст. В частности, OWN_TRANSLATION_POSSIBLE здесь не выдан до уточнения доступного санскритского слоя.</w:t>
      </w:r>
      <w:r>
        <w:t xml:space="preserve"> </w:t>
      </w:r>
      <w:hyperlink r:id="rId99">
        <w:r>
          <w:rPr>
            <w:color w:val="27617A"/>
            <w:u w:val="single"/>
          </w:rPr>
          <w:t>[R061]</w:t>
        </w:r>
      </w:hyperlink>
    </w:p>
    <w:p>
      <w:pPr>
        <w:pStyle w:val="Heading2"/>
      </w:pPr>
      <w:r>
        <w:t>4.2. Локальная копия, OCR, индекс и embeddings — разные действия</w:t>
      </w:r>
    </w:p>
    <w:p>
      <w:r>
        <w:rPr>
          <w:b w:val="0"/>
        </w:rPr>
        <w:t>FREE_READ и FREE_DOWNLOAD описывают доступ. LOCAL_RESEARCH_COPY не разрешает публичную раздачу файла. FULLTEXT_INDEX_OK и EMBEDDINGS_OK у лицензированных текстов — отдельные практические выводы из разрешения копировать/перерабатывать этот слой; лицензии не называют эти технические операции поимённо. Для NC-материала такие действия ограничены некоммерческим использованием. Передача корпуса внешнему сервису с самостоятельными правами на данные требует отдельной проверки.</w:t>
      </w:r>
    </w:p>
    <w:p>
      <w:r>
        <w:rPr>
          <w:b w:val="0"/>
        </w:rPr>
        <w:t>OCR_OK нельзя переносить с одного разрешённого PDF на рукописную коллекцию. Для TXT/HTML OCR не требуется и такой тег не добавлялся ради количества. Публичный показ полнотекстовых фрагментов, выдача исходника из индекса и распространение извлекаемых из embeddings данных должны сохранять ограничения соответствующего источника. Наличие эмбеддингов не отменяет права на исходный текст.</w:t>
      </w:r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  <w:r>
        <w:t xml:space="preserve"> </w:t>
      </w:r>
      <w:hyperlink r:id="rId98">
        <w:r>
          <w:rPr>
            <w:color w:val="27617A"/>
            <w:u w:val="single"/>
          </w:rPr>
          <w:t>[R087]</w:t>
        </w:r>
      </w:hyperlink>
      <w:r>
        <w:t xml:space="preserve"> </w:t>
      </w:r>
      <w:hyperlink r:id="rId58">
        <w:r>
          <w:rPr>
            <w:color w:val="27617A"/>
            <w:u w:val="single"/>
          </w:rPr>
          <w:t>[R038]</w:t>
        </w:r>
      </w:hyperlink>
    </w:p>
    <w:p>
      <w:pPr>
        <w:pStyle w:val="Heading2"/>
      </w:pPr>
      <w:r>
        <w:t>4.3. Где остаются только чтение, библиотека, preview или покупка</w:t>
      </w:r>
    </w:p>
    <w:p>
      <w:r>
        <w:rPr>
          <w:b w:val="0"/>
        </w:rPr>
        <w:t>Torella, Nemec, современные книжные переводы Singh, Chakravarty, Gnoli, Dyczkowski, Bansat-Boudon–Tripathi и русские части «Узнавания Ишвары» сохранены как полезные законные входы. Их защищённость не повод вычёркивать книги. Без дополнительного основания ToS может давать ссылки и собственные библиографические карточки; повторная публикация текста или аппарата требует разрешения либо отдельно установленного законного основания.</w:t>
      </w:r>
      <w:r>
        <w:t xml:space="preserve"> </w:t>
      </w:r>
      <w:hyperlink r:id="rId63">
        <w:r>
          <w:rPr>
            <w:color w:val="27617A"/>
            <w:u w:val="single"/>
          </w:rPr>
          <w:t>[R040]</w:t>
        </w:r>
      </w:hyperlink>
      <w:r>
        <w:t xml:space="preserve"> </w:t>
      </w:r>
      <w:hyperlink r:id="rId65">
        <w:r>
          <w:rPr>
            <w:color w:val="27617A"/>
            <w:u w:val="single"/>
          </w:rPr>
          <w:t>[R041]</w:t>
        </w:r>
      </w:hyperlink>
      <w:r>
        <w:t xml:space="preserve"> </w:t>
      </w:r>
      <w:hyperlink r:id="rId84">
        <w:r>
          <w:rPr>
            <w:color w:val="27617A"/>
            <w:u w:val="single"/>
          </w:rPr>
          <w:t>[R045]</w:t>
        </w:r>
      </w:hyperlink>
      <w:r>
        <w:t xml:space="preserve"> </w:t>
      </w:r>
      <w:hyperlink r:id="rId67">
        <w:r>
          <w:rPr>
            <w:color w:val="27617A"/>
            <w:u w:val="single"/>
          </w:rPr>
          <w:t>[R056]</w:t>
        </w:r>
      </w:hyperlink>
      <w:r>
        <w:t xml:space="preserve"> </w:t>
      </w:r>
      <w:hyperlink r:id="rId68">
        <w:r>
          <w:rPr>
            <w:color w:val="27617A"/>
            <w:u w:val="single"/>
          </w:rPr>
          <w:t>[R057]</w:t>
        </w:r>
      </w:hyperlink>
      <w:r>
        <w:t xml:space="preserve"> </w:t>
      </w:r>
      <w:hyperlink r:id="rId85">
        <w:r>
          <w:rPr>
            <w:color w:val="27617A"/>
            <w:u w:val="single"/>
          </w:rPr>
          <w:t>[R064]</w:t>
        </w:r>
      </w:hyperlink>
      <w:r>
        <w:t xml:space="preserve"> </w:t>
      </w:r>
      <w:hyperlink r:id="rId76">
        <w:r>
          <w:rPr>
            <w:color w:val="27617A"/>
            <w:u w:val="single"/>
          </w:rPr>
          <w:t>[R065]</w:t>
        </w:r>
      </w:hyperlink>
      <w:r>
        <w:t xml:space="preserve"> </w:t>
      </w:r>
      <w:hyperlink r:id="rId88">
        <w:r>
          <w:rPr>
            <w:color w:val="27617A"/>
            <w:u w:val="single"/>
          </w:rPr>
          <w:t>[R078]</w:t>
        </w:r>
      </w:hyperlink>
      <w:r>
        <w:t xml:space="preserve"> </w:t>
      </w:r>
      <w:hyperlink r:id="rId45">
        <w:r>
          <w:rPr>
            <w:color w:val="27617A"/>
            <w:u w:val="single"/>
          </w:rPr>
          <w:t>[R069]</w:t>
        </w:r>
      </w:hyperlink>
    </w:p>
    <w:p>
      <w:r>
        <w:rPr>
          <w:b w:val="0"/>
        </w:rPr>
        <w:t>Некоммерческий характер проекта сам по себе не превращает paywall в открытый доступ. Gallica intra muros, Borrowing request, Google Books preview, Closed Stores и backorder — разные режимы, а не варианты free_download. Выдача и регистрация фактически не выполнялись. Лицензий ND, позволяющих в этом наборе только неизменённое распространение, не установлено; специальная группа UNCHANGED_ONLY не создавалась искусственно.</w:t>
      </w:r>
      <w:r>
        <w:t xml:space="preserve"> </w:t>
      </w:r>
      <w:hyperlink r:id="rId86">
        <w:r>
          <w:rPr>
            <w:color w:val="27617A"/>
            <w:u w:val="single"/>
          </w:rPr>
          <w:t>[R071]</w:t>
        </w:r>
      </w:hyperlink>
      <w:r>
        <w:t xml:space="preserve"> </w:t>
      </w:r>
      <w:hyperlink r:id="rId97">
        <w:r>
          <w:rPr>
            <w:color w:val="27617A"/>
            <w:u w:val="single"/>
          </w:rPr>
          <w:t>[R070]</w:t>
        </w:r>
      </w:hyperlink>
      <w:r>
        <w:t xml:space="preserve"> </w:t>
      </w:r>
      <w:hyperlink r:id="rId45">
        <w:r>
          <w:rPr>
            <w:color w:val="27617A"/>
            <w:u w:val="single"/>
          </w:rPr>
          <w:t>[R069]</w:t>
        </w:r>
      </w:hyperlink>
      <w:r>
        <w:t xml:space="preserve"> </w:t>
      </w:r>
      <w:hyperlink r:id="rId90">
        <w:r>
          <w:rPr>
            <w:color w:val="27617A"/>
            <w:u w:val="single"/>
          </w:rPr>
          <w:t>[R048]</w:t>
        </w:r>
      </w:hyperlink>
      <w:r>
        <w:t xml:space="preserve"> </w:t>
      </w:r>
      <w:hyperlink r:id="rId76">
        <w:r>
          <w:rPr>
            <w:color w:val="27617A"/>
            <w:u w:val="single"/>
          </w:rPr>
          <w:t>[R065]</w:t>
        </w:r>
      </w:hyperlink>
    </w:p>
    <w:p>
      <w:pPr>
        <w:pStyle w:val="Heading2"/>
      </w:pPr>
      <w:r>
        <w:t>4.4. Основа собственного перевода</w:t>
      </w:r>
    </w:p>
    <w:p>
      <w:r>
        <w:rPr>
          <w:b w:val="0"/>
        </w:rPr>
        <w:t>OWN_TRANSLATION_POSSIBLE обозначает только конкретный открытый санскритский слой, указанный в own_translation_basis: например, весь доступный Tantrasāra, лицензированный текст Parātriṃśikā с указанным комментарием либо отдельный свидетель. Для Nāṭyaśāstra/Abhinavabhāratī разрешение ограничено главами 1–27, для Руйяки — вторым Vimarśa, для рукописного e-text — данным свидетелем, включая лакуны.</w:t>
      </w:r>
      <w:r>
        <w:t xml:space="preserve"> </w:t>
      </w:r>
      <w:hyperlink r:id="rId87">
        <w:r>
          <w:rPr>
            <w:color w:val="27617A"/>
            <w:u w:val="single"/>
          </w:rPr>
          <w:t>[R005]</w:t>
        </w:r>
      </w:hyperlink>
      <w:r>
        <w:t xml:space="preserve"> </w:t>
      </w:r>
      <w:hyperlink r:id="rId21">
        <w:r>
          <w:rPr>
            <w:color w:val="27617A"/>
            <w:u w:val="single"/>
          </w:rPr>
          <w:t>[R016]</w:t>
        </w:r>
      </w:hyperlink>
      <w:r>
        <w:t xml:space="preserve"> </w:t>
      </w:r>
      <w:hyperlink r:id="rId19">
        <w:r>
          <w:rPr>
            <w:color w:val="27617A"/>
            <w:u w:val="single"/>
          </w:rPr>
          <w:t>[R026]</w:t>
        </w:r>
      </w:hyperlink>
      <w:r>
        <w:t xml:space="preserve"> </w:t>
      </w:r>
      <w:hyperlink r:id="rId58">
        <w:r>
          <w:rPr>
            <w:color w:val="27617A"/>
            <w:u w:val="single"/>
          </w:rPr>
          <w:t>[R038]</w:t>
        </w:r>
      </w:hyperlink>
      <w:r>
        <w:t xml:space="preserve"> </w:t>
      </w:r>
      <w:hyperlink r:id="rId39">
        <w:r>
          <w:rPr>
            <w:color w:val="27617A"/>
            <w:u w:val="single"/>
          </w:rPr>
          <w:t>[R085]</w:t>
        </w:r>
      </w:hyperlink>
    </w:p>
    <w:p>
      <w:r>
        <w:rPr>
          <w:b w:val="0"/>
        </w:rPr>
        <w:t>Для современной критической реконструкции с неясной историей разрешений, защищённого перевода-посредника или каталожной записи этот тег не используется. Перевод Иванова R082 можно распространять и перерабатывать в рамках CC BY, однако он не выдан за чистый оригинальный санскритский источник для новой независимой переводческой работы. Юрисдикционный вывод о public domain древнего авторского слоя в этом пакете не является основанием сильных положительных тегов.</w:t>
      </w:r>
    </w:p>
    <w:p>
      <w:pPr>
        <w:pStyle w:val="Heading1"/>
        <w:pageBreakBefore w:val="0"/>
        <w:spacing w:before="340"/>
      </w:pPr>
      <w:r>
        <w:t>5. Характерные правовые и текстологические тонкости</w:t>
      </w:r>
    </w:p>
    <w:p>
      <w:pPr>
        <w:pStyle w:val="Heading2"/>
      </w:pPr>
      <w:r>
        <w:t>Одна цифровая библиотека — несколько несовместимых режимов</w:t>
      </w:r>
    </w:p>
    <w:p>
      <w:r>
        <w:rPr>
          <w:b w:val="0"/>
        </w:rPr>
        <w:t>Muktabodha прямо разделяет E-Text Library, IFP Paper Transcripts и Gokarna Vedic Collection. Первую нельзя использовать как универсальное разрешение на вторую и третью. В T2-37 это особенно существенно для текстов, набранных по IFP-транскриптам: лицензированный TXT и изображение его бумажного источника — разные объекты. У UNESCO номинационное досье также отдельно говорит о правах учреждений на цифровые изображения старых рукописей.</w:t>
      </w:r>
      <w:r>
        <w:t xml:space="preserve"> </w:t>
      </w:r>
      <w:hyperlink r:id="rId98">
        <w:r>
          <w:rPr>
            <w:color w:val="27617A"/>
            <w:u w:val="single"/>
          </w:rPr>
          <w:t>[R087]</w:t>
        </w:r>
      </w:hyperlink>
      <w:r>
        <w:t xml:space="preserve"> </w:t>
      </w:r>
      <w:hyperlink r:id="rId38">
        <w:r>
          <w:rPr>
            <w:color w:val="27617A"/>
            <w:u w:val="single"/>
          </w:rPr>
          <w:t>[R083]</w:t>
        </w:r>
      </w:hyperlink>
      <w:r>
        <w:t xml:space="preserve"> </w:t>
      </w:r>
      <w:hyperlink r:id="rId100">
        <w:r>
          <w:rPr>
            <w:color w:val="27617A"/>
            <w:u w:val="single"/>
          </w:rPr>
          <w:t>[R089]</w:t>
        </w:r>
      </w:hyperlink>
    </w:p>
    <w:p>
      <w:pPr>
        <w:pStyle w:val="Heading2"/>
      </w:pPr>
      <w:r>
        <w:t>Открытая лицензия не равна критически установленному тексту</w:t>
      </w:r>
    </w:p>
    <w:p>
      <w:r>
        <w:rPr>
          <w:b w:val="0"/>
        </w:rPr>
        <w:t>E-text может содержать редакторские исправления, описанные лакуны, неверное наследованное обозначение «факсимиле», незавершённый первый раздел или перепутанный порядок частей. R021 отличается от ранней основы R022; R036 не вычитан и ограничен первым Uddyota; R084 начинается обрывом, а R085 требует проверки состава. Эти свойства влияют на научное использование даже тогда, когда право некоммерчески копировать сам файл ясно.</w:t>
      </w:r>
      <w:r>
        <w:t xml:space="preserve"> </w:t>
      </w:r>
      <w:hyperlink r:id="rId71">
        <w:r>
          <w:rPr>
            <w:color w:val="27617A"/>
            <w:u w:val="single"/>
          </w:rPr>
          <w:t>[R021]</w:t>
        </w:r>
      </w:hyperlink>
      <w:r>
        <w:t xml:space="preserve"> </w:t>
      </w:r>
      <w:hyperlink r:id="rId72">
        <w:r>
          <w:rPr>
            <w:color w:val="27617A"/>
            <w:u w:val="single"/>
          </w:rPr>
          <w:t>[R022]</w:t>
        </w:r>
      </w:hyperlink>
      <w:r>
        <w:t xml:space="preserve"> </w:t>
      </w:r>
      <w:hyperlink r:id="rId20">
        <w:r>
          <w:rPr>
            <w:color w:val="27617A"/>
            <w:u w:val="single"/>
          </w:rPr>
          <w:t>[R036]</w:t>
        </w:r>
      </w:hyperlink>
      <w:r>
        <w:t xml:space="preserve"> </w:t>
      </w:r>
      <w:hyperlink r:id="rId53">
        <w:r>
          <w:rPr>
            <w:color w:val="27617A"/>
            <w:u w:val="single"/>
          </w:rPr>
          <w:t>[R084]</w:t>
        </w:r>
      </w:hyperlink>
      <w:r>
        <w:t xml:space="preserve"> </w:t>
      </w:r>
      <w:hyperlink r:id="rId39">
        <w:r>
          <w:rPr>
            <w:color w:val="27617A"/>
            <w:u w:val="single"/>
          </w:rPr>
          <w:t>[R085]</w:t>
        </w:r>
      </w:hyperlink>
    </w:p>
    <w:p>
      <w:pPr>
        <w:pStyle w:val="Heading2"/>
      </w:pPr>
      <w:r>
        <w:t>Схожее название не означает тождество произведения</w:t>
      </w:r>
    </w:p>
    <w:p>
      <w:r>
        <w:rPr>
          <w:b w:val="0"/>
        </w:rPr>
        <w:t>Два Mahānayaprakāśa, два Paramārthasāra и несколько Śivasūtravārttika должны оставаться различимыми. Bhagavatutpala, связанный со Spandapradīpikā, не подменён Утпаладевой; Somānanda II в Parātrīśikātātparyadīpikā не автоматически автор Śivadṛṣṭi. Vijñānakaumudī Анандабхатты не является Uddyota Кшемараджи или поздним комментарием Шивопадхьяи. Для M00197 как раз оставлена открытая проблема тождества вместо выдуманного нового автора.</w:t>
      </w:r>
      <w:r>
        <w:t xml:space="preserve"> </w:t>
      </w:r>
      <w:hyperlink r:id="rId27">
        <w:r>
          <w:rPr>
            <w:color w:val="27617A"/>
            <w:u w:val="single"/>
          </w:rPr>
          <w:t>[R031]</w:t>
        </w:r>
      </w:hyperlink>
      <w:r>
        <w:t xml:space="preserve"> </w:t>
      </w:r>
      <w:hyperlink r:id="rId28">
        <w:r>
          <w:rPr>
            <w:color w:val="27617A"/>
            <w:u w:val="single"/>
          </w:rPr>
          <w:t>[R032]</w:t>
        </w:r>
      </w:hyperlink>
      <w:r>
        <w:t xml:space="preserve"> </w:t>
      </w:r>
      <w:hyperlink r:id="rId44">
        <w:r>
          <w:rPr>
            <w:color w:val="27617A"/>
            <w:u w:val="single"/>
          </w:rPr>
          <w:t>[R013]</w:t>
        </w:r>
      </w:hyperlink>
      <w:r>
        <w:t xml:space="preserve"> </w:t>
      </w:r>
      <w:hyperlink r:id="rId43">
        <w:r>
          <w:rPr>
            <w:color w:val="27617A"/>
            <w:u w:val="single"/>
          </w:rPr>
          <w:t>[R072]</w:t>
        </w:r>
      </w:hyperlink>
      <w:r>
        <w:t xml:space="preserve"> </w:t>
      </w:r>
      <w:hyperlink r:id="rId69">
        <w:r>
          <w:rPr>
            <w:color w:val="27617A"/>
            <w:u w:val="single"/>
          </w:rPr>
          <w:t>[R010]</w:t>
        </w:r>
      </w:hyperlink>
      <w:r>
        <w:t xml:space="preserve"> </w:t>
      </w:r>
      <w:hyperlink r:id="rId81">
        <w:r>
          <w:rPr>
            <w:color w:val="27617A"/>
            <w:u w:val="single"/>
          </w:rPr>
          <w:t>[R081]</w:t>
        </w:r>
      </w:hyperlink>
      <w:r>
        <w:t xml:space="preserve"> </w:t>
      </w:r>
      <w:hyperlink r:id="rId74">
        <w:r>
          <w:rPr>
            <w:color w:val="27617A"/>
            <w:u w:val="single"/>
          </w:rPr>
          <w:t>[R024]</w:t>
        </w:r>
      </w:hyperlink>
      <w:r>
        <w:t xml:space="preserve"> </w:t>
      </w:r>
      <w:hyperlink r:id="rId92">
        <w:r>
          <w:rPr>
            <w:color w:val="27617A"/>
            <w:u w:val="single"/>
          </w:rPr>
          <w:t>[R052]</w:t>
        </w:r>
      </w:hyperlink>
      <w:r>
        <w:t xml:space="preserve"> </w:t>
      </w:r>
      <w:hyperlink r:id="rId94">
        <w:r>
          <w:rPr>
            <w:color w:val="27617A"/>
            <w:u w:val="single"/>
          </w:rPr>
          <w:t>[R019]</w:t>
        </w:r>
      </w:hyperlink>
      <w:r>
        <w:t xml:space="preserve"> </w:t>
      </w:r>
      <w:hyperlink r:id="rId54">
        <w:r>
          <w:rPr>
            <w:color w:val="27617A"/>
            <w:u w:val="single"/>
          </w:rPr>
          <w:t>[R080]</w:t>
        </w:r>
      </w:hyperlink>
      <w:r>
        <w:t xml:space="preserve"> </w:t>
      </w:r>
      <w:hyperlink r:id="rId38">
        <w:r>
          <w:rPr>
            <w:color w:val="27617A"/>
            <w:u w:val="single"/>
          </w:rPr>
          <w:t>[R083]</w:t>
        </w:r>
      </w:hyperlink>
    </w:p>
    <w:p>
      <w:pPr>
        <w:pStyle w:val="Heading2"/>
      </w:pPr>
      <w:r>
        <w:t>Полнота произведения, издания и доступа различаются</w:t>
      </w:r>
    </w:p>
    <w:p>
      <w:r>
        <w:rPr>
          <w:b w:val="0"/>
        </w:rPr>
        <w:t>Полный комментарий Spandasandoha относится к одной начальной строфе; критический том Nemec II — к главе 4; три файла Abhinavabhāratī не покрывают все главы; перевод Silburn–Padoux — только I–V. Карточка полного издания без текста имеет coverage=metadata_only. Каталог HathiTrust с Full View, когда сам просмотрщик не отобразился, оставлен как заявленный путь с coverage=unknown. Поэтому полнота комплекта никогда не переносится без оговорки на весь корпус.</w:t>
      </w:r>
      <w:r>
        <w:t xml:space="preserve"> </w:t>
      </w:r>
      <w:hyperlink r:id="rId75">
        <w:r>
          <w:rPr>
            <w:color w:val="27617A"/>
            <w:u w:val="single"/>
          </w:rPr>
          <w:t>[R025]</w:t>
        </w:r>
      </w:hyperlink>
      <w:r>
        <w:t xml:space="preserve"> </w:t>
      </w:r>
      <w:hyperlink r:id="rId65">
        <w:r>
          <w:rPr>
            <w:color w:val="27617A"/>
            <w:u w:val="single"/>
          </w:rPr>
          <w:t>[R041]</w:t>
        </w:r>
      </w:hyperlink>
      <w:r>
        <w:t xml:space="preserve"> </w:t>
      </w:r>
      <w:hyperlink r:id="rId19">
        <w:r>
          <w:rPr>
            <w:color w:val="27617A"/>
            <w:u w:val="single"/>
          </w:rPr>
          <w:t>[R026]</w:t>
        </w:r>
      </w:hyperlink>
      <w:r>
        <w:t xml:space="preserve"> </w:t>
      </w:r>
      <w:hyperlink r:id="rId86">
        <w:r>
          <w:rPr>
            <w:color w:val="27617A"/>
            <w:u w:val="single"/>
          </w:rPr>
          <w:t>[R071]</w:t>
        </w:r>
      </w:hyperlink>
      <w:r>
        <w:t xml:space="preserve"> </w:t>
      </w:r>
      <w:hyperlink r:id="rId54">
        <w:r>
          <w:rPr>
            <w:color w:val="27617A"/>
            <w:u w:val="single"/>
          </w:rPr>
          <w:t>[R080]</w:t>
        </w:r>
      </w:hyperlink>
    </w:p>
    <w:p>
      <w:pPr>
        <w:pStyle w:val="Heading2"/>
      </w:pPr>
      <w:r>
        <w:t>Старые издания и юрисдикции</w:t>
      </w:r>
    </w:p>
    <w:p>
      <w:r>
        <w:rPr>
          <w:b w:val="0"/>
        </w:rPr>
        <w:t>Ранняя дата печати полезна для поиска более свободной основы, но сама по себе не доказывает свободу всех компонентов и во всех странах. Gutenberg прямо ограничивает свои гарантии американской юрисдикцией. В R060 оставлен законный маршрут чтения старого английского доксографического текста, но без безусловного тега MIRROR_OK для международного ToS. Barnett 1910 не объявлен свободным цифровым файлом: найдена лишь библиотечная карточка.</w:t>
      </w:r>
      <w:r>
        <w:t xml:space="preserve"> </w:t>
      </w:r>
      <w:hyperlink r:id="rId59">
        <w:r>
          <w:rPr>
            <w:color w:val="27617A"/>
            <w:u w:val="single"/>
          </w:rPr>
          <w:t>[R060]</w:t>
        </w:r>
      </w:hyperlink>
      <w:r>
        <w:t xml:space="preserve"> </w:t>
      </w:r>
      <w:hyperlink r:id="rId90">
        <w:r>
          <w:rPr>
            <w:color w:val="27617A"/>
            <w:u w:val="single"/>
          </w:rPr>
          <w:t>[R048]</w:t>
        </w:r>
      </w:hyperlink>
    </w:p>
    <w:p>
      <w:r>
        <w:rPr>
          <w:b w:val="0"/>
        </w:rPr>
        <w:t xml:space="preserve">Официальная оговорка платформы: </w:t>
      </w:r>
      <w:hyperlink r:id="rId101">
        <w:r>
          <w:rPr>
            <w:color w:val="27617A"/>
            <w:u w:val="single"/>
          </w:rPr>
          <w:t>Project Gutenberg — Permissions / US only</w:t>
        </w:r>
      </w:hyperlink>
    </w:p>
    <w:p>
      <w:pPr>
        <w:pStyle w:val="Heading2"/>
      </w:pPr>
      <w:r>
        <w:t>Права на вычислительную обработку не отменяют условий лицензии</w:t>
      </w:r>
    </w:p>
    <w:p>
      <w:r>
        <w:rPr>
          <w:b w:val="0"/>
        </w:rPr>
        <w:t>В XLSX нет общего вывода «OCR, индекс и embeddings разрешены всем найденным книгам». Для каждого положительного тега важны rights_scope и coverage. RIGHTS_REVIEW_REQUIRED удерживает автоматическое использование там, где современная редакция или сторонний компонент остаются неясными. В стандартных CC-разрешениях обработка оценена как конкретное использование лицензированного текста, а не как специальная лицензия на обучение любых моделей или снятие условий NC/SA.</w:t>
      </w:r>
    </w:p>
    <w:p>
      <w:pPr>
        <w:pStyle w:val="Heading1"/>
        <w:pageBreakBefore w:val="0"/>
        <w:spacing w:before="340"/>
      </w:pPr>
      <w:r>
        <w:t>6. Пробелы и дальнейший поиск</w:t>
      </w:r>
    </w:p>
    <w:p>
      <w:pPr>
        <w:pStyle w:val="Heading2"/>
      </w:pPr>
      <w:r>
        <w:t>6.1. Что результат пока не закрывает</w:t>
      </w:r>
    </w:p>
    <w:p>
      <w:r>
        <w:rPr>
          <w:b w:val="0"/>
        </w:rPr>
        <w:t>Полная современная критическая картина остаётся неполной для Śivadṛṣṭi после главы 4, всего фрагментарного Vivṛti, санскритского Locana после первого Uddyota в проверенном композите, Abhinavabhāratī после главы 27, полного Vyaktiviveka и ряда ранних Trika-писаний. G001–G010 различают утрату текста, частичную редакцию и ненайденный цифровой вход. Ни одно из этих ограничений не сформулировано как отсутствие самого произведения.</w:t>
      </w:r>
    </w:p>
    <w:p>
      <w:r>
        <w:rPr>
          <w:b w:val="0"/>
        </w:rPr>
        <w:t xml:space="preserve">Гораздо хуже, чем электронные транскрипции, закрыт </w:t>
      </w:r>
      <w:r>
        <w:rPr>
          <w:b/>
        </w:rPr>
        <w:t>слой фотографий и факсимиле</w:t>
      </w:r>
      <w:r>
        <w:rPr>
          <w:b w:val="0"/>
        </w:rPr>
        <w:t>. BnF/IIIF для Sanscrit 864 не открылся; CUDL Or.2262 не подтверждён; HathiTrust показал оболочку просмотрщика, но не сами страницы. Коллекция UNESCO даёт официальный каталогический масштаб, не проверенную открытую выгрузку всех рукописей. Эти ограничения отмечены G011–G013 и в соответствующих verification_status.</w:t>
      </w:r>
      <w:r>
        <w:t xml:space="preserve"> </w:t>
      </w:r>
      <w:hyperlink r:id="rId40">
        <w:r>
          <w:rPr>
            <w:color w:val="27617A"/>
            <w:u w:val="single"/>
          </w:rPr>
          <w:t>[R062]</w:t>
        </w:r>
      </w:hyperlink>
      <w:r>
        <w:t xml:space="preserve"> </w:t>
      </w:r>
      <w:hyperlink r:id="rId54">
        <w:r>
          <w:rPr>
            <w:color w:val="27617A"/>
            <w:u w:val="single"/>
          </w:rPr>
          <w:t>[R080]</w:t>
        </w:r>
      </w:hyperlink>
      <w:r>
        <w:t xml:space="preserve"> </w:t>
      </w:r>
      <w:hyperlink r:id="rId102">
        <w:r>
          <w:rPr>
            <w:color w:val="27617A"/>
            <w:u w:val="single"/>
          </w:rPr>
          <w:t>[R089]</w:t>
        </w:r>
      </w:hyperlink>
    </w:p>
    <w:p>
      <w:r>
        <w:rPr>
          <w:b w:val="0"/>
        </w:rPr>
        <w:t>Современные крупные переводы и критические книги в основном требуют покупки, подписки, библиотечной регистрации или очного доступа. Их пути не потеряны: backorder, Sold Out, épuisé и intra muros сохранены буквально, без обещания мгновенного получения. Авторский депозит Törzsök предлагает скачивание, но аутентифицированная выдача не тестировалась. Регистраций и заказов не совершалось.</w:t>
      </w:r>
      <w:r>
        <w:t xml:space="preserve"> </w:t>
      </w:r>
      <w:hyperlink r:id="rId63">
        <w:r>
          <w:rPr>
            <w:color w:val="27617A"/>
            <w:u w:val="single"/>
          </w:rPr>
          <w:t>[R040]</w:t>
        </w:r>
      </w:hyperlink>
      <w:r>
        <w:t xml:space="preserve"> </w:t>
      </w:r>
      <w:hyperlink r:id="rId47">
        <w:r>
          <w:rPr>
            <w:color w:val="27617A"/>
            <w:u w:val="single"/>
          </w:rPr>
          <w:t>[R044]</w:t>
        </w:r>
      </w:hyperlink>
      <w:r>
        <w:t xml:space="preserve"> </w:t>
      </w:r>
      <w:hyperlink r:id="rId78">
        <w:r>
          <w:rPr>
            <w:color w:val="27617A"/>
            <w:u w:val="single"/>
          </w:rPr>
          <w:t>[R068]</w:t>
        </w:r>
      </w:hyperlink>
      <w:r>
        <w:t xml:space="preserve"> </w:t>
      </w:r>
      <w:hyperlink r:id="rId86">
        <w:r>
          <w:rPr>
            <w:color w:val="27617A"/>
            <w:u w:val="single"/>
          </w:rPr>
          <w:t>[R071]</w:t>
        </w:r>
      </w:hyperlink>
      <w:r>
        <w:t xml:space="preserve"> </w:t>
      </w:r>
      <w:hyperlink r:id="rId48">
        <w:r>
          <w:rPr>
            <w:color w:val="27617A"/>
            <w:u w:val="single"/>
          </w:rPr>
          <w:t>[R079]</w:t>
        </w:r>
      </w:hyperlink>
    </w:p>
    <w:p>
      <w:r>
        <w:rPr>
          <w:b w:val="0"/>
        </w:rPr>
        <w:t>Не завершены item-level поиск остальных французских переводов Silburn, ряда русских переводов и публикации Иванова 2015 с полным ранним комментарием к строфам 1–23. Современный русский перевод 2024–2025 найден и открыт, но его лицензия не перенесена на статью 2015. Не локализованы отдельные тексты Дигнаги и дополнительные гимны Абхинавагупты; более дальняя rasa/Śrīvidyā-рецепция требует именно текстовых свидетельств связи.</w:t>
      </w:r>
    </w:p>
    <w:p>
      <w:r>
        <w:rPr>
          <w:b w:val="0"/>
        </w:rPr>
        <w:t>Включённые поздние Лакшмирама, Бхаскарарая, Bhāskarī и Harabhaṭṭaśāstrī показывают, что поиск вперёд действительно проведён. Оставшиеся Mātṛkācakraviveka, Sāhityadarpaṇa/Rasagaṅgādhara и длинные bhakti-rasa-линии не исключены из-за дат: их дополнительные условия — доказательство конкретной связи, идентификация версии и пригодный законный вход.</w:t>
      </w:r>
    </w:p>
    <w:p>
      <w:r>
        <w:rPr>
          <w:b w:val="0"/>
        </w:rPr>
        <w:t>Группа unverified_candidate G023 содержит названия, обнаруженные в слабых списках серии, но не подтверждённые в этом запуске на достаточном уровне. Для неё не назначены доступ, авторство и свободная лицензия как установленные факты. Кандидаты, подтверждённые только поисковым заголовком либо неоткрывшейся страницей, не превращены в доказанные полные цифровые объекты.</w:t>
      </w:r>
    </w:p>
    <w:p>
      <w:pPr>
        <w:pStyle w:val="Heading2"/>
      </w:pPr>
      <w:r>
        <w:t>6.2. Восемь целевых направлений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540"/>
      </w:tblGrid>
      <w:tr>
        <w:trPr>
          <w:tblHeader/>
          <w:cantSplit/>
        </w:trPr>
        <w:tc>
          <w:tcPr>
            <w:tcW w:type="dxa" w:w="2098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7540"/>
            <w:vAlign w:val="top"/>
            <w:shd w:fill="203A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b/>
                <w:color w:val="FFFFFF"/>
                <w:sz w:val="18"/>
              </w:rPr>
              <w:t>Следующий исследовательский шаг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1. Pratyabhijñā</w:t>
            </w:r>
          </w:p>
        </w:tc>
        <w:tc>
          <w:tcPr>
            <w:tcW w:type="dxa" w:w="754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Свести все изданные фрагменты Vivṛti по месту карик; проверить раннюю KSTS-основу IPK/Vṛtti и продолжение критического Śivadṛṣṭi. G001–G003.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2. Эстетическое ядро</w:t>
            </w:r>
          </w:p>
        </w:tc>
        <w:tc>
          <w:tcPr>
            <w:tcW w:type="dxa" w:w="754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Получить полный Locana и четвёртый GOS-том Nāṭyaśāstra/Abhinavabhāratī; локализовать Hṛdayadarpaṇa-testimonia и полный Vyaktiviveka. G004–G007.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3. Ранние Trika-писания</w:t>
            </w:r>
          </w:p>
        </w:tc>
        <w:tc>
          <w:tcPr>
            <w:tcW w:type="dxa" w:w="754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Найти конкретные NAK-свидетели Tantrasadbhāva, полный комплект Siddhayogeśvarīmata и редакции глав Mālinīvijayottara вне Vasudeva 2004. G008–G010.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4. Изображения свидетелей</w:t>
            </w:r>
          </w:p>
        </w:tc>
        <w:tc>
          <w:tcPr>
            <w:tcW w:type="dxa" w:w="754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Открыть Sanscrit 864 и Or.2262; отобрать конкретные shelfmarks из UNESCO Appendix A и проверить item-level права изображений. G011–G013.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5. Неочевидные комментарии</w:t>
            </w:r>
          </w:p>
        </w:tc>
        <w:tc>
          <w:tcPr>
            <w:tcW w:type="dxa" w:w="754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Сверить M00197 с Bhāskarī, порядок Berlin Hs.Or.11633 и начало KSTS 69; доказать конкретную связь Mātṛkācakraviveka. G015, G021–G022.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6. Переводные входы</w:t>
            </w:r>
          </w:p>
        </w:tc>
        <w:tc>
          <w:tcPr>
            <w:tcW w:type="dxa" w:w="754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Проверить ИФ РАН для Иванова 2015, ИВР РАН для перевода 2014, остальные Silburn и ранний Barnett; не пользоваться случайными книжными зеркалами. G017–G020, G027.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7. Повторное использование</w:t>
            </w:r>
          </w:p>
        </w:tc>
        <w:tc>
          <w:tcPr>
            <w:tcW w:type="dxa" w:w="7540"/>
            <w:vAlign w:val="top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Разобрать конфликтующие права GRETIL и установить официальный репозиторий данных Muktabodha. G014, G028; отдельная лицензия кода недостаточна.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8. Ограниченный ореол</w:t>
            </w:r>
          </w:p>
        </w:tc>
        <w:tc>
          <w:tcPr>
            <w:tcW w:type="dxa" w:w="7540"/>
            <w:vAlign w:val="top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rFonts w:ascii="Noto Sans" w:hAnsi="Noto Sans"/>
                <w:sz w:val="18"/>
              </w:rPr>
              <w:t>Проверить дополнительные гимны, слабые KSTS-кандидаты и конкретные поздние эстетические цитатные линии; уточнить статус нового Tantrāloka. G016, G023–G026.</w:t>
            </w:r>
          </w:p>
        </w:tc>
      </w:tr>
    </w:tbl>
    <w:p>
      <w:r>
        <w:rPr>
          <w:b w:val="0"/>
        </w:rPr>
        <w:t>Это адресные продолжения, а не обещание фоновой работы. Поиск не достиг полной библиографической насыщенности: предметных кандидатов остаётся больше, чем было возможно проверить до завершения этого пакета. Они зафиксированы в том же XLSX, чтобы дальнейший запуск не начинал с общих порталов.</w:t>
      </w:r>
    </w:p>
    <w:p>
      <w:pPr>
        <w:pStyle w:val="Heading1"/>
        <w:pageBreakBefore w:val="0"/>
        <w:spacing w:before="340"/>
      </w:pPr>
      <w:r>
        <w:t>7. Итоговая оценка</w:t>
      </w:r>
    </w:p>
    <w:p>
      <w:r>
        <w:rPr>
          <w:b w:val="0"/>
        </w:rPr>
      </w:r>
      <w:r>
        <w:rPr>
          <w:b/>
        </w:rPr>
        <w:t>Ядро покрыто хорошо на уровне законных цифровых входов, но не исчерпывающе на уровне рукописей, всех редакций и переводов.</w:t>
      </w:r>
      <w:r>
        <w:rPr>
          <w:b w:val="0"/>
        </w:rPr>
        <w:t xml:space="preserve"> Центральные комплексы исходного DR имеют предметные маршруты; слабые места названы по произведениям и частям. Результат не ограничен «кашмирским шиваизмом» как недифференцированным ярлыком: Pratyabhijñā, Spanda, Trika, Krama и эстетический корпус различены.</w:t>
      </w:r>
    </w:p>
    <w:p>
      <w:r>
        <w:rPr>
          <w:b w:val="0"/>
        </w:rPr>
      </w:r>
      <w:r>
        <w:rPr>
          <w:b/>
        </w:rPr>
        <w:t>Оригиналы доступны заметно лучше изображений.</w:t>
      </w:r>
      <w:r>
        <w:rPr>
          <w:b w:val="0"/>
        </w:rPr>
        <w:t xml:space="preserve"> Самый широкий подтверждённый слой — санскритские TXT с прямыми NC-лицензиями и отдельные GRETIL-объекты. Это удобная база для чтения, локальных исследовательских копий, выборочной некоммерческой индексации и собственных переводов в доказанных пределах. Современные реконструкции не приравнены к механическим копиям старой печати.</w:t>
      </w:r>
    </w:p>
    <w:p>
      <w:r>
        <w:rPr>
          <w:b w:val="0"/>
        </w:rPr>
      </w:r>
      <w:r>
        <w:rPr>
          <w:b/>
        </w:rPr>
        <w:t>Переводы доступны неодинаково.</w:t>
      </w:r>
      <w:r>
        <w:rPr>
          <w:b w:val="0"/>
        </w:rPr>
        <w:t xml:space="preserve"> Полный русский Vijñānabhairava под CC BY 4.0 — особенно полезная находка для публичного ToS. Для большинства крупных философских и эстетических текстов лучшее научное ознакомление связано с защищёнными изданиями, библиотеками или покупкой. Старый свободный английский доксографический слой не подменяет эти книги.</w:t>
      </w:r>
      <w:r>
        <w:t xml:space="preserve"> </w:t>
      </w:r>
      <w:hyperlink r:id="rId12">
        <w:r>
          <w:rPr>
            <w:color w:val="27617A"/>
            <w:u w:val="single"/>
          </w:rPr>
          <w:t>[R082]</w:t>
        </w:r>
      </w:hyperlink>
      <w:r>
        <w:t xml:space="preserve"> </w:t>
      </w:r>
      <w:hyperlink r:id="rId63">
        <w:r>
          <w:rPr>
            <w:color w:val="27617A"/>
            <w:u w:val="single"/>
          </w:rPr>
          <w:t>[R040]</w:t>
        </w:r>
      </w:hyperlink>
      <w:r>
        <w:t xml:space="preserve"> </w:t>
      </w:r>
      <w:hyperlink r:id="rId65">
        <w:r>
          <w:rPr>
            <w:color w:val="27617A"/>
            <w:u w:val="single"/>
          </w:rPr>
          <w:t>[R041]</w:t>
        </w:r>
      </w:hyperlink>
      <w:r>
        <w:t xml:space="preserve"> </w:t>
      </w:r>
      <w:hyperlink r:id="rId42">
        <w:r>
          <w:rPr>
            <w:color w:val="27617A"/>
            <w:u w:val="single"/>
          </w:rPr>
          <w:t>[R046]</w:t>
        </w:r>
      </w:hyperlink>
      <w:r>
        <w:t xml:space="preserve"> </w:t>
      </w:r>
      <w:hyperlink r:id="rId59">
        <w:r>
          <w:rPr>
            <w:color w:val="27617A"/>
            <w:u w:val="single"/>
          </w:rPr>
          <w:t>[R060]</w:t>
        </w:r>
      </w:hyperlink>
    </w:p>
    <w:p>
      <w:r>
        <w:rPr>
          <w:b w:val="0"/>
        </w:rPr>
      </w:r>
      <w:r>
        <w:rPr>
          <w:b/>
        </w:rPr>
        <w:t>Пакет пригоден для передачи Codex как исследовательский вход</w:t>
      </w:r>
      <w:r>
        <w:rPr>
          <w:b w:val="0"/>
        </w:rPr>
        <w:t>, а не как безусловный список разрешённых скачиваний и зеркал. Рабочая единица — запись registry; обязательные фильтры перед действием: verification_status, access_mode, coverage, rights_scope, rights_evidence_url и rights_confidence. При наличии RIGHTS_REVIEW_REQUIRED положительные теги нельзя расширять на другие компоненты или весь корпус.</w:t>
      </w:r>
    </w:p>
    <w:p>
      <w:r>
        <w:rPr>
          <w:b w:val="0"/>
        </w:rPr>
        <w:t>Практический первый слой публикации — собственные карточки и внешние ссылки; затем отдельно проверенные CC BY / CC BY-NC объекты с сохранённой атрибуцией и уведомлениями. Непроверенные изображения, современные защищённые переводы и спорные редакционные слои остаются внешними маршрутами либо задачами ручной проверки. ID T2-37, статус A и исторические границы мастер-строки сохранены.</w:t>
      </w:r>
    </w:p>
    <w:p>
      <w:pPr>
        <w:pStyle w:val="Heading2"/>
      </w:pPr>
      <w:r>
        <w:t>Как читать доказательства в двух файлах</w:t>
      </w:r>
    </w:p>
    <w:p>
      <w:r>
        <w:rPr>
          <w:b w:val="0"/>
        </w:rPr>
        <w:t>В отчёте [R…] — кликабельные ссылки на основные страницы записей XLSX. Для лицензионных выводов таблица отдельно содержит rights_evidence_url; это может быть заголовок TXT, страница конкретной статьи, официальные условия коллекции или описанное институциональное заявление. В notes приведены дополнительные источники метаданных, если они отличаются от страницы доступа.</w:t>
      </w:r>
    </w:p>
    <w:p>
      <w:r>
        <w:rPr>
          <w:b w:val="0"/>
        </w:rPr>
        <w:t>checked_at означает дату веб-проверки, а не гарантию неизменности сайта и не заверение о построчной колляции. Заявленный издателем объём, открытая карточка, открытый текст, просмотр PDF и неотобразившийся viewer различены. Высокая rights_confidence означает уверенность в указанном ограниченном правовом scope, а не во всей исторической реконструкции произведения.</w:t>
      </w:r>
    </w:p>
    <w:p>
      <w:pPr>
        <w:pStyle w:val="Heading2"/>
      </w:pPr>
      <w:r>
        <w:t>Исходный документ и опорные лицензионные источники</w:t>
      </w:r>
    </w:p>
    <w:p>
      <w:pPr>
        <w:spacing w:after="80"/>
      </w:pPr>
      <w:r>
        <w:rPr>
          <w:b w:val="0"/>
          <w:sz w:val="18"/>
        </w:rPr>
        <w:t>Исходный DR: «ToS Deep Research_ T2-37 — Кашмирский шиваизм, тантрическая философия и эстетика(1).docx». Контрольная мастер-строка: T2-37 в «Таблица II для ToS.docx». Использованы как карта корпуса и паспорт, не как источник новых юридических разрешений.</w:t>
      </w:r>
    </w:p>
    <w:p>
      <w:pPr>
        <w:spacing w:after="80"/>
      </w:pPr>
      <w:r>
        <w:rPr>
          <w:b w:val="0"/>
          <w:sz w:val="18"/>
        </w:rPr>
      </w:r>
      <w:hyperlink r:id="rId98">
        <w:r>
          <w:rPr>
            <w:color w:val="27617A"/>
            <w:u w:val="single"/>
          </w:rPr>
          <w:t>Muktabodha — лицензии трёх коллекций</w:t>
        </w:r>
      </w:hyperlink>
    </w:p>
    <w:p>
      <w:pPr>
        <w:spacing w:after="80"/>
      </w:pPr>
      <w:r>
        <w:rPr>
          <w:b w:val="0"/>
          <w:sz w:val="18"/>
        </w:rPr>
      </w:r>
      <w:hyperlink r:id="rId103">
        <w:r>
          <w:rPr>
            <w:color w:val="27617A"/>
            <w:u w:val="single"/>
          </w:rPr>
          <w:t>CC BY 4.0 — условия атрибуции и переработки</w:t>
        </w:r>
      </w:hyperlink>
    </w:p>
    <w:p>
      <w:pPr>
        <w:spacing w:after="80"/>
      </w:pPr>
      <w:r>
        <w:rPr>
          <w:b w:val="0"/>
          <w:sz w:val="18"/>
        </w:rPr>
      </w:r>
      <w:hyperlink r:id="rId104">
        <w:r>
          <w:rPr>
            <w:color w:val="27617A"/>
            <w:u w:val="single"/>
          </w:rPr>
          <w:t>CC BY-NC 4.0 — некоммерческое использование</w:t>
        </w:r>
      </w:hyperlink>
    </w:p>
    <w:p>
      <w:pPr>
        <w:spacing w:after="80"/>
      </w:pPr>
      <w:r>
        <w:rPr>
          <w:b w:val="0"/>
          <w:sz w:val="18"/>
        </w:rPr>
      </w:r>
      <w:hyperlink r:id="rId105">
        <w:r>
          <w:rPr>
            <w:color w:val="27617A"/>
            <w:u w:val="single"/>
          </w:rPr>
          <w:t>CC BY-NC-SA 4.0 — NC и ShareAlike</w:t>
        </w:r>
      </w:hyperlink>
    </w:p>
    <w:p>
      <w:pPr>
        <w:spacing w:after="80"/>
      </w:pPr>
      <w:r>
        <w:rPr>
          <w:b w:val="0"/>
          <w:sz w:val="18"/>
        </w:rPr>
      </w:r>
      <w:hyperlink r:id="rId12">
        <w:r>
          <w:rPr>
            <w:color w:val="27617A"/>
            <w:u w:val="single"/>
          </w:rPr>
          <w:t>Иванов 2024 — item-level CC BY, часть 1</w:t>
        </w:r>
      </w:hyperlink>
    </w:p>
    <w:p>
      <w:pPr>
        <w:spacing w:after="80"/>
      </w:pPr>
      <w:r>
        <w:rPr>
          <w:b w:val="0"/>
          <w:sz w:val="18"/>
        </w:rPr>
      </w:r>
      <w:hyperlink r:id="rId95">
        <w:r>
          <w:rPr>
            <w:color w:val="27617A"/>
            <w:u w:val="single"/>
          </w:rPr>
          <w:t>Иванов 2025 — item-level CC BY, часть 2</w:t>
        </w:r>
      </w:hyperlink>
    </w:p>
    <w:p>
      <w:pPr>
        <w:spacing w:after="80"/>
      </w:pPr>
      <w:r>
        <w:rPr>
          <w:b w:val="0"/>
          <w:sz w:val="18"/>
        </w:rPr>
      </w:r>
      <w:hyperlink r:id="rId100">
        <w:r>
          <w:rPr>
            <w:color w:val="27617A"/>
            <w:u w:val="single"/>
          </w:rPr>
          <w:t>UNESCO — номинационное досье, раздел 5.2 о правах изображений</w:t>
        </w:r>
      </w:hyperlink>
    </w:p>
    <w:p>
      <w:pPr>
        <w:spacing w:after="80"/>
      </w:pPr>
      <w:r>
        <w:rPr>
          <w:b w:val="0"/>
          <w:sz w:val="18"/>
        </w:rPr>
      </w:r>
      <w:hyperlink r:id="rId101">
        <w:r>
          <w:rPr>
            <w:color w:val="27617A"/>
            <w:u w:val="single"/>
          </w:rPr>
          <w:t>Project Gutenberg — территориальные оговорки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sz w:val="16"/>
      </w:rPr>
      <w:t xml:space="preserve">Проверка: 04.09.2026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58092"/>
        <w:sz w:val="16"/>
      </w:rPr>
      <w:t>TREE OF SOPHIA  /  CORPUS &amp; RIGHTS  /  T2-37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Noto Serif" w:hAnsi="Noto Serif"/>
      <w:color w:val="26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203A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" w:hAnsi="Noto Sans"/>
      <w:b/>
      <w:bCs/>
      <w:color w:val="203A5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" w:hAnsi="Noto Sans"/>
      <w:b/>
      <w:bCs/>
      <w:color w:val="203A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" w:hAnsi="Noto Sans"/>
      <w:color w:val="203A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Noto Sans" w:hAnsi="Noto Sans"/>
      <w:i/>
      <w:iCs/>
      <w:color w:val="203A5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uktabodha-digital-library.org/" TargetMode="External"/><Relationship Id="rId12" Type="http://schemas.openxmlformats.org/officeDocument/2006/relationships/hyperlink" Target="https://journals.eco-vector.com/1811-8062/article/view/637173" TargetMode="External"/><Relationship Id="rId13" Type="http://schemas.openxmlformats.org/officeDocument/2006/relationships/hyperlink" Target="https://muktalib7.com/DL_CATALOG_ROOT/MUKTABODHA-LIBRARY-IAST/zivadRSTi-M00081-IAST.txt" TargetMode="External"/><Relationship Id="rId14" Type="http://schemas.openxmlformats.org/officeDocument/2006/relationships/hyperlink" Target="https://muktalib7.com/DL_CATALOG_ROOT/MUKTABODHA-LIBRARY-IAST/IzvarapratyabhijJAvivRtivimarzinI%20Volume%201-M00020-IAST.txt" TargetMode="External"/><Relationship Id="rId15" Type="http://schemas.openxmlformats.org/officeDocument/2006/relationships/hyperlink" Target="https://muktalib7.com/DL_CATALOG_ROOT/MUKTABODHA-LIBRARY-IAST/tantrAloka%20chapters%201%20thru%2014-M00092-IAST.txt" TargetMode="External"/><Relationship Id="rId16" Type="http://schemas.openxmlformats.org/officeDocument/2006/relationships/hyperlink" Target="https://gretil.sub.uni-goettingen.de/gretil/corpustei/transformations/html/sa_utpaladeva-IzvarapratyabhijJAkArikA-with-vRtti.htm" TargetMode="External"/><Relationship Id="rId17" Type="http://schemas.openxmlformats.org/officeDocument/2006/relationships/hyperlink" Target="https://link.springer.com/article/10.1007/s10781-016-9302-2" TargetMode="External"/><Relationship Id="rId18" Type="http://schemas.openxmlformats.org/officeDocument/2006/relationships/hyperlink" Target="https://www.jstor.org/stable/10.1163/j.ctv2gjwvrz.13" TargetMode="External"/><Relationship Id="rId19" Type="http://schemas.openxmlformats.org/officeDocument/2006/relationships/hyperlink" Target="https://muktalib7.com/DL_CATALOG_ROOT/MUKTABODHA-LIBRARY-IAST/nATyazAstram%20Vol.%201-M00359-IAST.txt" TargetMode="External"/><Relationship Id="rId20" Type="http://schemas.openxmlformats.org/officeDocument/2006/relationships/hyperlink" Target="https://gretil.sub.uni-goettingen.de/gretil/corpustei/transformations/html/sa_Anandavardhana-dhvanyAloka-comm.htm" TargetMode="External"/><Relationship Id="rId21" Type="http://schemas.openxmlformats.org/officeDocument/2006/relationships/hyperlink" Target="https://muktalib7.com/DL_CATALOG_ROOT/MUKTABODHA-LIBRARY-IAST/parAtriMzikAvivaraNa-M0409-IAST.txt" TargetMode="External"/><Relationship Id="rId22" Type="http://schemas.openxmlformats.org/officeDocument/2006/relationships/hyperlink" Target="https://muktalib7.com/DL_CATALOG_ROOT/MUKTABODHA-LIBRARY-IAST/vijJAnabhairava-M00271-IAST.txt" TargetMode="External"/><Relationship Id="rId23" Type="http://schemas.openxmlformats.org/officeDocument/2006/relationships/hyperlink" Target="https://muktalib7.com/DL_CATALOG_ROOT/MUKTABODHA-LIBRARY-IAST/zivastotravalI-M00348-IAST.txt" TargetMode="External"/><Relationship Id="rId24" Type="http://schemas.openxmlformats.org/officeDocument/2006/relationships/hyperlink" Target="https://muktalib7.com/DL_CATALOG_ROOT/MUKTABODHA-LIBRARY-IAST/stavacintAmaNi-M00089-IAST.txt" TargetMode="External"/><Relationship Id="rId25" Type="http://schemas.openxmlformats.org/officeDocument/2006/relationships/hyperlink" Target="https://muktalib7.com/DL_CATALOG_ROOT/MUKTABODHA-LIBRARY-IAST/svacchandatantra-M00091-IAST.txt" TargetMode="External"/><Relationship Id="rId26" Type="http://schemas.openxmlformats.org/officeDocument/2006/relationships/hyperlink" Target="https://muktalib7.com/DL_CATALOG_ROOT/MUKTABODHA-LIBRARY-IAST/netratantra-M00038-IAST.txt" TargetMode="External"/><Relationship Id="rId27" Type="http://schemas.openxmlformats.org/officeDocument/2006/relationships/hyperlink" Target="https://muktalib7.com/DL_CATALOG_ROOT/MUKTABODHA-LIBRARY-IAST/mahAnayaprakAza-M00033-IAST.txt" TargetMode="External"/><Relationship Id="rId28" Type="http://schemas.openxmlformats.org/officeDocument/2006/relationships/hyperlink" Target="https://muktalib7.com/DL_CATALOG_ROOT/MUKTABODHA-LIBRARY-IAST/mahAnayaprakAza-M00034-IAST.txt" TargetMode="External"/><Relationship Id="rId29" Type="http://schemas.openxmlformats.org/officeDocument/2006/relationships/hyperlink" Target="https://muktalib7.com/DL_CATALOG_ROOT/MUKTABODHA-LIBRARY-IAST/mahArthamaJjarI-M00035-IAST.txt" TargetMode="External"/><Relationship Id="rId30" Type="http://schemas.openxmlformats.org/officeDocument/2006/relationships/hyperlink" Target="https://muktalib7.com/DL_CATALOG_ROOT/MUKTABODHA-LIBRARY-IAST/vAtUlanAthasUtra-M00099-IAST.txt" TargetMode="External"/><Relationship Id="rId31" Type="http://schemas.openxmlformats.org/officeDocument/2006/relationships/hyperlink" Target="https://muktalib7.com/DL_CATALOG_ROOT/MUKTABODHA-LIBRARY-IAST/SaTtriMzAttattvasandoha-M00151-IAST.txt" TargetMode="External"/><Relationship Id="rId32" Type="http://schemas.openxmlformats.org/officeDocument/2006/relationships/hyperlink" Target="https://muktalib7.com/DL_CATALOG_ROOT/MUKTABODHA-LIBRARY-IAST/bhagavadgItA-M00244-IAST.txt" TargetMode="External"/><Relationship Id="rId33" Type="http://schemas.openxmlformats.org/officeDocument/2006/relationships/hyperlink" Target="https://muktalib7.com/DL_CATALOG_ROOT/MUKTABODHA-LIBRARY-IAST/bhagavadgItA-M00167-IAST.txt" TargetMode="External"/><Relationship Id="rId34" Type="http://schemas.openxmlformats.org/officeDocument/2006/relationships/hyperlink" Target="https://muktalib7.com/DL_CATALOG_ROOT/MUKTABODHA-LIBRARY-IAST/bodhapaJcadazikA-M00173-IAST.txt" TargetMode="External"/><Relationship Id="rId35" Type="http://schemas.openxmlformats.org/officeDocument/2006/relationships/hyperlink" Target="https://muktalib7.com/DL_CATALOG_ROOT/MUKTABODHA-LIBRARY-IAST/bhairavastava-M00505-IAST.txt" TargetMode="External"/><Relationship Id="rId36" Type="http://schemas.openxmlformats.org/officeDocument/2006/relationships/hyperlink" Target="https://muktalib7.com/DL_CATALOG_ROOT/MUKTABODHA-LIBRARY-IAST/zivasUtravRtti-M00667-IAST.txt" TargetMode="External"/><Relationship Id="rId37" Type="http://schemas.openxmlformats.org/officeDocument/2006/relationships/hyperlink" Target="https://muktalib7.com/DL_CATALOG_ROOT/MUKTABODHA-LIBRARY-IAST/IzvarapratyabhijJAkaumudI-M00053-IAST.txt" TargetMode="External"/><Relationship Id="rId38" Type="http://schemas.openxmlformats.org/officeDocument/2006/relationships/hyperlink" Target="https://muktalib7.com/DL_CATALOG_ROOT/MUKTABODHA-LIBRARY-IAST/IzvarapratyabhijJAvimarzinIvyAkhyA-M00197-IAST.txt" TargetMode="External"/><Relationship Id="rId39" Type="http://schemas.openxmlformats.org/officeDocument/2006/relationships/hyperlink" Target="https://muktalib7.com/DL_CATALOG_ROOT/MUKTABODHA-LIBRARY-IAST/parAtrizikAvivRti-M00215-IAST.txt" TargetMode="External"/><Relationship Id="rId40" Type="http://schemas.openxmlformats.org/officeDocument/2006/relationships/hyperlink" Target="https://iiif.biblissima.fr/collections/manifest/63fe5caa2e5f0495f6c852a979bf997e797410b8" TargetMode="External"/><Relationship Id="rId41" Type="http://schemas.openxmlformats.org/officeDocument/2006/relationships/hyperlink" Target="https://gretil.sub.uni-goettingen.de/gretil/corpustei/transformations/html/sa_Anandavardhana-dhvanyAloka.htm" TargetMode="External"/><Relationship Id="rId42" Type="http://schemas.openxmlformats.org/officeDocument/2006/relationships/hyperlink" Target="https://libcat.canterbury.ac.nz/Record/430775" TargetMode="External"/><Relationship Id="rId43" Type="http://schemas.openxmlformats.org/officeDocument/2006/relationships/hyperlink" Target="https://gretil.sub.uni-goettingen.de/gretil/corpustei/transformations/html/sa_AdizeSa-paramArthasAra.htm" TargetMode="External"/><Relationship Id="rId44" Type="http://schemas.openxmlformats.org/officeDocument/2006/relationships/hyperlink" Target="https://muktalib7.com/DL_CATALOG_ROOT/MUKTABODHA-LIBRARY-IAST/paramArthasAra-M00041-IAST.txt" TargetMode="External"/><Relationship Id="rId45" Type="http://schemas.openxmlformats.org/officeDocument/2006/relationships/hyperlink" Target="https://books.google.com/books/about/An_Introduction_to_Tantric_Philosophy.html?id=kkXJAwAAQBAJ" TargetMode="External"/><Relationship Id="rId46" Type="http://schemas.openxmlformats.org/officeDocument/2006/relationships/hyperlink" Target="https://muktalib7.com/DL_CATALOG_ROOT/MUKTABODHA-LIBRARY-IAST/mAlinIvijayottaratantra-M00160-IAST.txt" TargetMode="External"/><Relationship Id="rId47" Type="http://schemas.openxmlformats.org/officeDocument/2006/relationships/hyperlink" Target="https://publications.efeo.fr/fr/livres/618_the-yoga-of-the-malinivijayottaratantra-chapters-1-4-7-i2-17" TargetMode="External"/><Relationship Id="rId48" Type="http://schemas.openxmlformats.org/officeDocument/2006/relationships/hyperlink" Target="https://www.academia.edu/1012926/The_doctrine_of_magic_female_spirits_a_critical_edition_of_selected_chapters_of_the_Siddhayogesvarimata_tantra_with_annotated_translation_and_analysis_TEXT" TargetMode="External"/><Relationship Id="rId49" Type="http://schemas.openxmlformats.org/officeDocument/2006/relationships/hyperlink" Target="https://gretil.sub.uni-goettingen.de/gretil/corpustei/transformations/html/sa_bhartRhari-vAkyapadIya.htm" TargetMode="External"/><Relationship Id="rId50" Type="http://schemas.openxmlformats.org/officeDocument/2006/relationships/hyperlink" Target="https://gretil.sub.uni-goettingen.de/gretil/corpustei/transformations/html/sa_IzvarakRSNa-sAMkhyakArikA.htm" TargetMode="External"/><Relationship Id="rId51" Type="http://schemas.openxmlformats.org/officeDocument/2006/relationships/hyperlink" Target="https://gretil.sub.uni-goettingen.de/gretil/1_sanskr/6_sastra/3_phil/buddh/dhkprvku.htm" TargetMode="External"/><Relationship Id="rId52" Type="http://schemas.openxmlformats.org/officeDocument/2006/relationships/hyperlink" Target="https://muktalib7.com/DL_CATALOG_ROOT/MUKTABODHA-LIBRARY-IAST/IzvarapratyabhijJAvimarzinI-M00019-IAST.txt" TargetMode="External"/><Relationship Id="rId53" Type="http://schemas.openxmlformats.org/officeDocument/2006/relationships/hyperlink" Target="https://muktalib7.com/DL_CATALOG_ROOT/MUKTABODHA-LIBRARY-IAST/parAtrizikAvivRti-M00044-IAST.txt" TargetMode="External"/><Relationship Id="rId54" Type="http://schemas.openxmlformats.org/officeDocument/2006/relationships/hyperlink" Target="https://catalog.hathitrust.org/Record/100175502" TargetMode="External"/><Relationship Id="rId55" Type="http://schemas.openxmlformats.org/officeDocument/2006/relationships/hyperlink" Target="https://muktalib7.com/DL_CATALOG_ROOT/MUKTABODHA-LIBRARY-IAST/vAmakezvarImata-M00097-IAST.txt" TargetMode="External"/><Relationship Id="rId56" Type="http://schemas.openxmlformats.org/officeDocument/2006/relationships/hyperlink" Target="https://muktalib7.com/DL_CATALOG_ROOT/MUKTABODHA-LIBRARY-IAST/nityASoDazikArNavatantra%20with%20the%20commentary%20called%20setubandha-M00052-IAST.txt" TargetMode="External"/><Relationship Id="rId57" Type="http://schemas.openxmlformats.org/officeDocument/2006/relationships/hyperlink" Target="https://gretil.sub.uni-goettingen.de/gretil/corpustei/transformations/html/sa_mammaTa-kAvyaprakAza.htm" TargetMode="External"/><Relationship Id="rId58" Type="http://schemas.openxmlformats.org/officeDocument/2006/relationships/hyperlink" Target="https://gretil.sub.uni-goettingen.de/gretil/corpustei/transformations/html/sa_ruyyaka-vyaktivivekavyAkhyA-2.htm" TargetMode="External"/><Relationship Id="rId59" Type="http://schemas.openxmlformats.org/officeDocument/2006/relationships/hyperlink" Target="https://www.gutenberg.org/ebooks/34125" TargetMode="External"/><Relationship Id="rId60" Type="http://schemas.openxmlformats.org/officeDocument/2006/relationships/hyperlink" Target="https://muktalib7.com/DL_CATALOG_ROOT/MUKTABODHA-LIBRARY-IAST/Izvarasiddhi-M00023-IAST.txt" TargetMode="External"/><Relationship Id="rId61" Type="http://schemas.openxmlformats.org/officeDocument/2006/relationships/hyperlink" Target="https://muktalib7.com/DL_CATALOG_ROOT/MUKTABODHA-LIBRARY-IAST/ajaDapramAtRsiddhiH-M00658-IAST.txt" TargetMode="External"/><Relationship Id="rId62" Type="http://schemas.openxmlformats.org/officeDocument/2006/relationships/hyperlink" Target="https://muktalib7.com/DL_CATALOG_ROOT/MUKTABODHA-LIBRARY-IAST/sambandhasiddhi-M00080-IAST.txt" TargetMode="External"/><Relationship Id="rId63" Type="http://schemas.openxmlformats.org/officeDocument/2006/relationships/hyperlink" Target="https://www.mlbd.in/products/the-isvarapratyabhijnakarika-of-utpaladeva-critical-edition-and-annoted-translation-raffaele-torella-9788120818675-8120818679" TargetMode="External"/><Relationship Id="rId64" Type="http://schemas.openxmlformats.org/officeDocument/2006/relationships/hyperlink" Target="https://books.google.com/books/about/The_Ubiquitous_Siva.html?id=GweFnybyP4gC" TargetMode="External"/><Relationship Id="rId65" Type="http://schemas.openxmlformats.org/officeDocument/2006/relationships/hyperlink" Target="https://academic.oup.com/book/43036" TargetMode="External"/><Relationship Id="rId66" Type="http://schemas.openxmlformats.org/officeDocument/2006/relationships/hyperlink" Target="https://books.google.com/books/about/The_Ubiquitous_Siva.html?id=bel5EAAAQBAJ" TargetMode="External"/><Relationship Id="rId67" Type="http://schemas.openxmlformats.org/officeDocument/2006/relationships/hyperlink" Target="https://ganga.ru/book/uznavanie-ishvary-chast-i" TargetMode="External"/><Relationship Id="rId68" Type="http://schemas.openxmlformats.org/officeDocument/2006/relationships/hyperlink" Target="https://ganga.ru/book/uznavanie-ishvary-chast-ii" TargetMode="External"/><Relationship Id="rId69" Type="http://schemas.openxmlformats.org/officeDocument/2006/relationships/hyperlink" Target="https://muktalib7.com/DL_CATALOG_ROOT/MUKTABODHA-LIBRARY-IAST/zivasUtravArttika-M00083-IAST.txt" TargetMode="External"/><Relationship Id="rId70" Type="http://schemas.openxmlformats.org/officeDocument/2006/relationships/hyperlink" Target="https://muktalib7.com/DL_CATALOG_ROOT/MUKTABODHA-LIBRARY-IAST/zivasUtravimarzinI%20text%20version-M00349-IAST.txt" TargetMode="External"/><Relationship Id="rId71" Type="http://schemas.openxmlformats.org/officeDocument/2006/relationships/hyperlink" Target="https://muktalib7.com/DL_CATALOG_ROOT/MUKTABODHA-LIBRARY-IAST/spandakArikA-M00067-IAST.txt" TargetMode="External"/><Relationship Id="rId72" Type="http://schemas.openxmlformats.org/officeDocument/2006/relationships/hyperlink" Target="https://muktalib7.com/DL_CATALOG_ROOT/MUKTABODHA-LIBRARY-IAST/spandakArikA%20with%20vivRtti%20by%20rAmakaNTha-M00352-IAST.txt" TargetMode="External"/><Relationship Id="rId73" Type="http://schemas.openxmlformats.org/officeDocument/2006/relationships/hyperlink" Target="https://muktalib7.com/DL_CATALOG_ROOT/MUKTABODHA-LIBRARY-IAST/spandanirNaya-M00163-IAST.txt" TargetMode="External"/><Relationship Id="rId74" Type="http://schemas.openxmlformats.org/officeDocument/2006/relationships/hyperlink" Target="https://muktalib7.com/DL_CATALOG_ROOT/MUKTABODHA-LIBRARY-IAST/spandapradIpikA-M00532-IAST.txt" TargetMode="External"/><Relationship Id="rId75" Type="http://schemas.openxmlformats.org/officeDocument/2006/relationships/hyperlink" Target="https://muktalib7.com/DL_CATALOG_ROOT/MUKTABODHA-LIBRARY-IAST/spandasandoha-M00084-IAST.txt" TargetMode="External"/><Relationship Id="rId76" Type="http://schemas.openxmlformats.org/officeDocument/2006/relationships/hyperlink" Target="https://www.mlbd.in/products/siva-sutras-the-yoga-of-supreme-identity-text-of-the-sutras-and-the-commentary-vimarsini-of-ksemaraja-jaideva-singh-9788120804067-8120804066-9788120804074-8120804074" TargetMode="External"/><Relationship Id="rId77" Type="http://schemas.openxmlformats.org/officeDocument/2006/relationships/hyperlink" Target="https://www.mlbd.in/products/spanda-karikas-the-divine-creative-pulsation-the-karikas-and-the-spanda-nirnaya-jaideva-singh-9788120808164-8120808169-9788120808218-8120808215" TargetMode="External"/><Relationship Id="rId78" Type="http://schemas.openxmlformats.org/officeDocument/2006/relationships/hyperlink" Target="https://www.motilalbanarsidass.com/products/the-stanzas-on-vibration" TargetMode="External"/><Relationship Id="rId79" Type="http://schemas.openxmlformats.org/officeDocument/2006/relationships/hyperlink" Target="https://muktalib7.com/DL_CATALOG_ROOT/MUKTABODHA-LIBRARY-IAST/pratyabhijJahRdaya%20Text%20version-M00350-IAST.txt" TargetMode="External"/><Relationship Id="rId80" Type="http://schemas.openxmlformats.org/officeDocument/2006/relationships/hyperlink" Target="https://mlbdbook.com/products/copy-of-pratyabhijnahrdayam-the-secret-of-self-recognition-sanskrit-text-with-english-translation-notes-and-introduction" TargetMode="External"/><Relationship Id="rId81" Type="http://schemas.openxmlformats.org/officeDocument/2006/relationships/hyperlink" Target="https://gretil.sub.uni-goettingen.de/gretil/1_sanskr/4_rellit/saiva/sivsutru.htm" TargetMode="External"/><Relationship Id="rId82" Type="http://schemas.openxmlformats.org/officeDocument/2006/relationships/hyperlink" Target="https://muktalib7.com/DL_CATALOG_ROOT/MUKTABODHA-LIBRARY-IAST/parAprAvezikA-M00048-IAST.txt" TargetMode="External"/><Relationship Id="rId83" Type="http://schemas.openxmlformats.org/officeDocument/2006/relationships/hyperlink" Target="https://gretil.sub.uni-goettingen.de/gretil/corpustei/transformations/html/sa_abhinavagupta-tantrAloka.htm" TargetMode="External"/><Relationship Id="rId84" Type="http://schemas.openxmlformats.org/officeDocument/2006/relationships/hyperlink" Target="https://www.anuttaratrikakula.org/tantraloka-translation/" TargetMode="External"/><Relationship Id="rId85" Type="http://schemas.openxmlformats.org/officeDocument/2006/relationships/hyperlink" Target="https://www.adelphi.it/libro/9788845931536" TargetMode="External"/><Relationship Id="rId86" Type="http://schemas.openxmlformats.org/officeDocument/2006/relationships/hyperlink" Target="https://catalogue.bnf.fr/ark:/12148/cb37067441z" TargetMode="External"/><Relationship Id="rId87" Type="http://schemas.openxmlformats.org/officeDocument/2006/relationships/hyperlink" Target="https://muktalib7.com/DL_CATALOG_ROOT/MUKTABODHA-LIBRARY-IAST/tantrasAra-M00153-IAST.txt" TargetMode="External"/><Relationship Id="rId88" Type="http://schemas.openxmlformats.org/officeDocument/2006/relationships/hyperlink" Target="https://www.indicabooks.com/product/tantrasara-of-abhinavagupta-copy/" TargetMode="External"/><Relationship Id="rId89" Type="http://schemas.openxmlformats.org/officeDocument/2006/relationships/hyperlink" Target="https://gretil.sub.uni-goettingen.de/gretil/corpustei/transformations/html/sa_abhinavagupta-paramArthasAra-comm.htm" TargetMode="External"/><Relationship Id="rId90" Type="http://schemas.openxmlformats.org/officeDocument/2006/relationships/hyperlink" Target="https://wellcomecollection.org/works/p2q7gcsb" TargetMode="External"/><Relationship Id="rId91" Type="http://schemas.openxmlformats.org/officeDocument/2006/relationships/hyperlink" Target="https://muktalib7.com/DL_CATALOG_ROOT/MUKTABODHA-LIBRARY-IAST/parAtrIzikAlaghuvRtti-M00042-IAST.txt" TargetMode="External"/><Relationship Id="rId92" Type="http://schemas.openxmlformats.org/officeDocument/2006/relationships/hyperlink" Target="https://muktalib7.com/DL_CATALOG_ROOT/MUKTABODHA-LIBRARY-IAST/parAtrizikAtAtparyadIpikA%20and%20zAktavijJAna-M00043-IAST.txt" TargetMode="External"/><Relationship Id="rId93" Type="http://schemas.openxmlformats.org/officeDocument/2006/relationships/hyperlink" Target="https://wellcomecollection.org/works/ttrc8yrk" TargetMode="External"/><Relationship Id="rId94" Type="http://schemas.openxmlformats.org/officeDocument/2006/relationships/hyperlink" Target="https://muktalib7.com/DL_CATALOG_ROOT/MUKTABODHA-LIBRARY-IAST/vijJAnabhairava%20with%20commentary%20Kaumadi-M00347-IAST.txt" TargetMode="External"/><Relationship Id="rId95" Type="http://schemas.openxmlformats.org/officeDocument/2006/relationships/hyperlink" Target="https://journals.eco-vector.com/1811-8062/article/view/656087" TargetMode="External"/><Relationship Id="rId96" Type="http://schemas.openxmlformats.org/officeDocument/2006/relationships/hyperlink" Target="https://www.mlbd.in/products/vijnanabhairava-or-divine-consciousness-a-treasury-of-112-types-of-yoga-jaideva-singh-9788120808171-8120808177-9788120808201-8120808207" TargetMode="External"/><Relationship Id="rId97" Type="http://schemas.openxmlformats.org/officeDocument/2006/relationships/hyperlink" Target="https://opac.uniroma1.it/SebinaOpacRMS/resource/RMS01716175?locale=eng" TargetMode="External"/><Relationship Id="rId98" Type="http://schemas.openxmlformats.org/officeDocument/2006/relationships/hyperlink" Target="https://muktabodha-digital-library.org/about" TargetMode="External"/><Relationship Id="rId99" Type="http://schemas.openxmlformats.org/officeDocument/2006/relationships/hyperlink" Target="https://www.jstor.org/content/oa_chapter_edited/10.1163/j.ctv2gjwvrz.13" TargetMode="External"/><Relationship Id="rId100" Type="http://schemas.openxmlformats.org/officeDocument/2006/relationships/hyperlink" Target="https://media.unesco.org/sites/default/files/webform/mow001/28_142%252B.pdf" TargetMode="External"/><Relationship Id="rId101" Type="http://schemas.openxmlformats.org/officeDocument/2006/relationships/hyperlink" Target="https://www.gutenberg.org/policy/permission.html" TargetMode="External"/><Relationship Id="rId102" Type="http://schemas.openxmlformats.org/officeDocument/2006/relationships/hyperlink" Target="https://www.unesco.org/en/memory-world/abhinavagupta-940-1015-ce-collection-manuscripts-his-works" TargetMode="External"/><Relationship Id="rId103" Type="http://schemas.openxmlformats.org/officeDocument/2006/relationships/hyperlink" Target="https://creativecommons.org/licenses/by/4.0/" TargetMode="External"/><Relationship Id="rId104" Type="http://schemas.openxmlformats.org/officeDocument/2006/relationships/hyperlink" Target="https://creativecommons.org/licenses/by-nc/4.0/" TargetMode="External"/><Relationship Id="rId105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T2-37</dc:title>
  <dc:subject>Кашмирский шиваизм, тантрическая философия и эстетика: корпус и законные пути доступа</dc:subject>
  <dc:creator>Tree of Sophia</dc:creator>
  <cp:keywords>ToS; T2-37; corpus; rights; Kashmir Shaivism; Sanskrit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