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320"/>
        <w:jc w:val="left"/>
      </w:pPr>
      <w:r>
        <w:rPr>
          <w:rFonts w:ascii="Noto Sans" w:hAnsi="Noto Sans" w:eastAsia="Noto Sans"/>
          <w:b/>
          <w:color w:val="0B6B73"/>
          <w:sz w:val="20"/>
        </w:rPr>
        <w:t>TREE OF SOPHIA</w:t>
      </w:r>
    </w:p>
    <w:p>
      <w:pPr>
        <w:pStyle w:val="Title"/>
        <w:widowControl/>
        <w:jc w:val="left"/>
      </w:pPr>
      <w:r>
        <w:rPr>
          <w:rFonts w:ascii="Noto Sans" w:hAnsi="Noto Sans" w:eastAsia="Noto Sans"/>
          <w:b/>
          <w:color w:val="123B4A"/>
          <w:sz w:val="50"/>
        </w:rPr>
        <w:t>ToS Corpus &amp; Rights Registry</w:t>
      </w:r>
    </w:p>
    <w:p>
      <w:pPr>
        <w:pStyle w:val="Subtitle"/>
        <w:widowControl/>
      </w:pPr>
      <w:r>
        <w:rPr>
          <w:rFonts w:ascii="Noto Sans" w:hAnsi="Noto Sans" w:eastAsia="Noto Sans"/>
          <w:b/>
          <w:color w:val="0B6B73"/>
          <w:sz w:val="28"/>
        </w:rPr>
        <w:t>A30 — Второй Храм и иудейско-эллинистическая философская теология</w:t>
      </w:r>
    </w:p>
    <w:p>
      <w:pPr>
        <w:pStyle w:val="Lead"/>
        <w:widowControl/>
      </w:pPr>
      <w:r>
        <w:rPr>
          <w:rFonts w:ascii="Noto Serif" w:hAnsi="Noto Serif" w:eastAsia="Noto Serif"/>
          <w:color w:val="172A31"/>
          <w:sz w:val="23"/>
        </w:rPr>
        <w:t>Исследовательский пакет корпуса, законных путей доступа, правовых слоёв и практического использования для публичного проекта ToS.</w:t>
      </w:r>
    </w:p>
    <w:p>
      <w:pPr>
        <w:spacing w:before="80" w:after="200"/>
        <w:widowControl/>
        <w:pBdr>
          <w:bottom w:val="single" w:sz="14" w:space="1" w:color="D9A44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409"/>
            <w:tcMar>
              <w:top w:w="90" w:type="dxa"/>
              <w:start w:w="70" w:type="dxa"/>
              <w:bottom w:w="80" w:type="dxa"/>
              <w:end w:w="70" w:type="dxa"/>
            </w:tcMar>
            <w:tcBorders>
              <w:top w:val="single" w:sz="5" w:color="AAC0C7"/>
              <w:left w:val="single" w:sz="5" w:color="AAC0C7"/>
              <w:bottom w:val="single" w:sz="5" w:color="AAC0C7"/>
              <w:right w:val="single" w:sz="5" w:color="AAC0C7"/>
            </w:tcBorders>
            <w:shd w:fill="123B4A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34"/>
              </w:rPr>
              <w:t>152</w:t>
            </w:r>
          </w:p>
        </w:tc>
        <w:tc>
          <w:tcPr>
            <w:tcW w:type="dxa" w:w="2409"/>
            <w:tcMar>
              <w:top w:w="90" w:type="dxa"/>
              <w:start w:w="70" w:type="dxa"/>
              <w:bottom w:w="80" w:type="dxa"/>
              <w:end w:w="70" w:type="dxa"/>
            </w:tcMar>
            <w:tcBorders>
              <w:top w:val="single" w:sz="5" w:color="AAC0C7"/>
              <w:left w:val="single" w:sz="5" w:color="AAC0C7"/>
              <w:bottom w:val="single" w:sz="5" w:color="AAC0C7"/>
              <w:right w:val="single" w:sz="5" w:color="AAC0C7"/>
            </w:tcBorders>
            <w:shd w:fill="123B4A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34"/>
              </w:rPr>
              <w:t>≈65–70</w:t>
            </w:r>
          </w:p>
        </w:tc>
        <w:tc>
          <w:tcPr>
            <w:tcW w:type="dxa" w:w="2409"/>
            <w:tcMar>
              <w:top w:w="90" w:type="dxa"/>
              <w:start w:w="70" w:type="dxa"/>
              <w:bottom w:w="80" w:type="dxa"/>
              <w:end w:w="70" w:type="dxa"/>
            </w:tcMar>
            <w:tcBorders>
              <w:top w:val="single" w:sz="5" w:color="AAC0C7"/>
              <w:left w:val="single" w:sz="5" w:color="AAC0C7"/>
              <w:bottom w:val="single" w:sz="5" w:color="AAC0C7"/>
              <w:right w:val="single" w:sz="5" w:color="AAC0C7"/>
            </w:tcBorders>
            <w:shd w:fill="123B4A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34"/>
              </w:rPr>
              <w:t>15</w:t>
            </w:r>
          </w:p>
        </w:tc>
        <w:tc>
          <w:tcPr>
            <w:tcW w:type="dxa" w:w="2409"/>
            <w:tcMar>
              <w:top w:w="90" w:type="dxa"/>
              <w:start w:w="70" w:type="dxa"/>
              <w:bottom w:w="80" w:type="dxa"/>
              <w:end w:w="70" w:type="dxa"/>
            </w:tcMar>
            <w:tcBorders>
              <w:top w:val="single" w:sz="5" w:color="AAC0C7"/>
              <w:left w:val="single" w:sz="5" w:color="AAC0C7"/>
              <w:bottom w:val="single" w:sz="5" w:color="AAC0C7"/>
              <w:right w:val="single" w:sz="5" w:color="AAC0C7"/>
            </w:tcBorders>
            <w:shd w:fill="123B4A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34"/>
              </w:rPr>
              <w:t>20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70" w:type="dxa"/>
              <w:bottom w:w="80" w:type="dxa"/>
              <w:end w:w="70" w:type="dxa"/>
            </w:tcMar>
            <w:tcBorders>
              <w:top w:val="single" w:sz="5" w:color="AAC0C7"/>
              <w:left w:val="single" w:sz="5" w:color="AAC0C7"/>
              <w:bottom w:val="single" w:sz="5" w:color="AAC0C7"/>
              <w:right w:val="single" w:sz="5" w:color="AAC0C7"/>
            </w:tcBorders>
            <w:shd w:fill="EAF3F5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123B4A"/>
                <w:sz w:val="15"/>
              </w:rPr>
              <w:t>практически отличимых</w:t>
              <w:br/>
              <w:t>способа доступа</w:t>
            </w:r>
          </w:p>
        </w:tc>
        <w:tc>
          <w:tcPr>
            <w:tcW w:type="dxa" w:w="2409"/>
            <w:tcMar>
              <w:top w:w="90" w:type="dxa"/>
              <w:start w:w="70" w:type="dxa"/>
              <w:bottom w:w="80" w:type="dxa"/>
              <w:end w:w="70" w:type="dxa"/>
            </w:tcMar>
            <w:tcBorders>
              <w:top w:val="single" w:sz="5" w:color="AAC0C7"/>
              <w:left w:val="single" w:sz="5" w:color="AAC0C7"/>
              <w:bottom w:val="single" w:sz="5" w:color="AAC0C7"/>
              <w:right w:val="single" w:sz="5" w:color="AAC0C7"/>
            </w:tcBorders>
            <w:shd w:fill="EAF3F5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123B4A"/>
                <w:sz w:val="15"/>
              </w:rPr>
              <w:t>именованных произведений</w:t>
              <w:br/>
              <w:t>и корпусных единиц</w:t>
            </w:r>
          </w:p>
        </w:tc>
        <w:tc>
          <w:tcPr>
            <w:tcW w:type="dxa" w:w="2409"/>
            <w:tcMar>
              <w:top w:w="90" w:type="dxa"/>
              <w:start w:w="70" w:type="dxa"/>
              <w:bottom w:w="80" w:type="dxa"/>
              <w:end w:w="70" w:type="dxa"/>
            </w:tcMar>
            <w:tcBorders>
              <w:top w:val="single" w:sz="5" w:color="AAC0C7"/>
              <w:left w:val="single" w:sz="5" w:color="AAC0C7"/>
              <w:bottom w:val="single" w:sz="5" w:color="AAC0C7"/>
              <w:right w:val="single" w:sz="5" w:color="AAC0C7"/>
            </w:tcBorders>
            <w:shd w:fill="EAF3F5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123B4A"/>
                <w:sz w:val="15"/>
              </w:rPr>
              <w:t>конкретных физических</w:t>
              <w:br/>
              <w:t>свидетелей</w:t>
            </w:r>
          </w:p>
        </w:tc>
        <w:tc>
          <w:tcPr>
            <w:tcW w:type="dxa" w:w="2409"/>
            <w:tcMar>
              <w:top w:w="90" w:type="dxa"/>
              <w:start w:w="70" w:type="dxa"/>
              <w:bottom w:w="80" w:type="dxa"/>
              <w:end w:w="70" w:type="dxa"/>
            </w:tcMar>
            <w:tcBorders>
              <w:top w:val="single" w:sz="5" w:color="AAC0C7"/>
              <w:left w:val="single" w:sz="5" w:color="AAC0C7"/>
              <w:bottom w:val="single" w:sz="5" w:color="AAC0C7"/>
              <w:right w:val="single" w:sz="5" w:color="AAC0C7"/>
            </w:tcBorders>
            <w:shd w:fill="EAF3F5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123B4A"/>
                <w:sz w:val="15"/>
              </w:rPr>
              <w:t>целевых пробелов</w:t>
              <w:br/>
              <w:t>и направлений поиска</w:t>
            </w:r>
          </w:p>
        </w:tc>
      </w:tr>
    </w:tbl>
    <w:p>
      <w:pP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ID / статус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A30 / A; исходная уверенность 4. ID, статус и исторические границы не изменялись.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Историческое ядро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ок. III в. до н. э. — I в. н. э.; широкий корпусный ореол — до II в. н. э. и поздняя сохранность до V в. н. э. и далее.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Исходный документ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ToS Deep Research_ A30 — Второй Храм и иудейско-эллинистическая философская теология(1).docx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Дата проверки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3 сентября 2026 года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Поставка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ToS_Corpus_Rights_A30_registry.xlsx + настоящий DOCX-отчёт</w:t>
            </w:r>
          </w:p>
        </w:tc>
      </w:tr>
    </w:tbl>
    <w:p>
      <w:pP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FBF3D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D9A441"/>
              <w:left w:val="single" w:sz="18" w:color="D9A441"/>
              <w:bottom w:val="single" w:sz="8" w:color="D9A441"/>
              <w:right w:val="single" w:sz="8" w:color="D9A44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D9A441"/>
                <w:sz w:val="18"/>
              </w:rPr>
              <w:t>Принцип правовой осторожности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Древность произведения не переносит общественное достояние на современный перевод, критическую реконструкцию, комментарий, фотографию, OCR, TEI/XML или интерфейс. Свободное чтение и кнопка Download не трактуются как разрешение на зеркалирование.</w:t>
            </w:r>
          </w:p>
        </w:tc>
      </w:tr>
    </w:tbl>
    <w:p>
      <w:pPr>
        <w:widowControl/>
        <w:spacing w:after="20"/>
      </w:pPr>
    </w:p>
    <w:p>
      <w:pPr>
        <w:pStyle w:val="SmallNote"/>
        <w:widowControl/>
        <w:jc w:val="left"/>
      </w:pPr>
      <w:r>
        <w:rPr>
          <w:rFonts w:ascii="Noto Sans" w:hAnsi="Noto Sans" w:eastAsia="Noto Sans"/>
          <w:color w:val="5B6870"/>
          <w:sz w:val="16"/>
        </w:rPr>
        <w:t>Каждая строка XLSX — отдельный практически различимый путь доступа, версия, свидетель или инфраструктурный вход. Поэтому 152 записи не означают 152 разных произведения.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Состав отчёта</w:t>
      </w:r>
    </w:p>
    <w:p>
      <w:pPr>
        <w:spacing w:before="40" w:after="120"/>
        <w:widowControl/>
        <w:pBdr>
          <w:bottom w:val="single" w:sz="8" w:space="1" w:color="0B6B73"/>
        </w:pBdr>
      </w:pPr>
    </w:p>
    <w:p>
      <w:pPr>
        <w:pStyle w:val="ListNumber"/>
        <w:widowControl/>
        <w:spacing w:after="60"/>
        <w:ind w:left="312" w:hanging="142"/>
      </w:pPr>
      <w:r>
        <w:rPr>
          <w:rFonts w:ascii="Noto Sans" w:hAnsi="Noto Sans" w:eastAsia="Noto Sans"/>
          <w:color w:val="172A31"/>
          <w:sz w:val="18"/>
        </w:rPr>
        <w:t>Паспорт</w:t>
      </w:r>
    </w:p>
    <w:p>
      <w:pPr>
        <w:pStyle w:val="ListNumber"/>
        <w:widowControl/>
        <w:spacing w:after="60"/>
        <w:ind w:left="312" w:hanging="142"/>
      </w:pPr>
      <w:r>
        <w:rPr>
          <w:rFonts w:ascii="Noto Sans" w:hAnsi="Noto Sans" w:eastAsia="Noto Sans"/>
          <w:color w:val="172A31"/>
          <w:sz w:val="18"/>
        </w:rPr>
        <w:t>Охват корпуса</w:t>
      </w:r>
    </w:p>
    <w:p>
      <w:pPr>
        <w:pStyle w:val="ListNumber"/>
        <w:widowControl/>
        <w:spacing w:after="60"/>
        <w:ind w:left="312" w:hanging="142"/>
      </w:pPr>
      <w:r>
        <w:rPr>
          <w:rFonts w:ascii="Noto Sans" w:hAnsi="Noto Sans" w:eastAsia="Noto Sans"/>
          <w:color w:val="172A31"/>
          <w:sz w:val="18"/>
        </w:rPr>
        <w:t>Лучшие пути доступа</w:t>
      </w:r>
    </w:p>
    <w:p>
      <w:pPr>
        <w:pStyle w:val="ListNumber"/>
        <w:widowControl/>
        <w:spacing w:after="60"/>
        <w:ind w:left="312" w:hanging="142"/>
      </w:pPr>
      <w:r>
        <w:rPr>
          <w:rFonts w:ascii="Noto Sans" w:hAnsi="Noto Sans" w:eastAsia="Noto Sans"/>
          <w:color w:val="172A31"/>
          <w:sz w:val="18"/>
        </w:rPr>
        <w:t>Карта прав и практического использования</w:t>
      </w:r>
    </w:p>
    <w:p>
      <w:pPr>
        <w:pStyle w:val="ListNumber"/>
        <w:widowControl/>
        <w:spacing w:after="60"/>
        <w:ind w:left="312" w:hanging="142"/>
      </w:pPr>
      <w:r>
        <w:rPr>
          <w:rFonts w:ascii="Noto Sans" w:hAnsi="Noto Sans" w:eastAsia="Noto Sans"/>
          <w:color w:val="172A31"/>
          <w:sz w:val="18"/>
        </w:rPr>
        <w:t>Характерные правовые тонкости</w:t>
      </w:r>
    </w:p>
    <w:p>
      <w:pPr>
        <w:pStyle w:val="ListNumber"/>
        <w:widowControl/>
        <w:spacing w:after="60"/>
        <w:ind w:left="312" w:hanging="142"/>
      </w:pPr>
      <w:r>
        <w:rPr>
          <w:rFonts w:ascii="Noto Sans" w:hAnsi="Noto Sans" w:eastAsia="Noto Sans"/>
          <w:color w:val="172A31"/>
          <w:sz w:val="18"/>
        </w:rPr>
        <w:t>Пробелы и дальнейший поиск</w:t>
      </w:r>
    </w:p>
    <w:p>
      <w:pPr>
        <w:pStyle w:val="ListNumber"/>
        <w:widowControl/>
        <w:spacing w:after="60"/>
        <w:ind w:left="312" w:hanging="142"/>
      </w:pPr>
      <w:r>
        <w:rPr>
          <w:rFonts w:ascii="Noto Sans" w:hAnsi="Noto Sans" w:eastAsia="Noto Sans"/>
          <w:color w:val="172A31"/>
          <w:sz w:val="18"/>
        </w:rPr>
        <w:t>Итоговая оценка</w:t>
      </w:r>
    </w:p>
    <w:p>
      <w:pPr>
        <w:pStyle w:val="Heading2"/>
        <w:widowControl/>
      </w:pPr>
      <w:r>
        <w:t>Как читать XLSX</w:t>
      </w:r>
    </w:p>
    <w:p>
      <w:pPr>
        <w:pStyle w:val="ListBullet"/>
        <w:widowControl/>
        <w:spacing w:after="50"/>
        <w:ind w:left="255" w:hanging="113"/>
      </w:pPr>
      <w:r>
        <w:rPr>
          <w:rFonts w:ascii="Noto Sans" w:hAnsi="Noto Sans" w:eastAsia="Noto Sans"/>
          <w:color w:val="172A31"/>
          <w:sz w:val="18"/>
        </w:rPr>
        <w:t>registry — 152 строки с 32 обязательными полями; первый столбец record_id, служебных index/Unnamed-полей нет.</w:t>
      </w:r>
    </w:p>
    <w:p>
      <w:pPr>
        <w:pStyle w:val="ListBullet"/>
        <w:widowControl/>
        <w:spacing w:after="50"/>
        <w:ind w:left="255" w:hanging="113"/>
      </w:pPr>
      <w:r>
        <w:rPr>
          <w:rFonts w:ascii="Noto Sans" w:hAnsi="Noto Sans" w:eastAsia="Noto Sans"/>
          <w:color w:val="172A31"/>
          <w:sz w:val="18"/>
        </w:rPr>
        <w:t>gaps — 20 целевых пробелов: недостающие item-level страницы, лицензии, API, свидетели и линии передачи.</w:t>
      </w:r>
    </w:p>
    <w:p>
      <w:pPr>
        <w:pStyle w:val="ListBullet"/>
        <w:widowControl/>
        <w:spacing w:after="50"/>
        <w:ind w:left="255" w:hanging="113"/>
      </w:pPr>
      <w:r>
        <w:rPr>
          <w:rFonts w:ascii="Noto Sans" w:hAnsi="Noto Sans" w:eastAsia="Noto Sans"/>
          <w:color w:val="172A31"/>
          <w:sz w:val="18"/>
        </w:rPr>
        <w:t>Поля access_mode и coverage отделяют полный текст от fragment, single_witness, translation_only и metadata_only.</w:t>
      </w:r>
    </w:p>
    <w:p>
      <w:pPr>
        <w:pStyle w:val="ListBullet"/>
        <w:widowControl/>
        <w:spacing w:after="50"/>
        <w:ind w:left="255" w:hanging="113"/>
      </w:pPr>
      <w:r>
        <w:rPr>
          <w:rFonts w:ascii="Noto Sans" w:hAnsi="Noto Sans" w:eastAsia="Noto Sans"/>
          <w:color w:val="172A31"/>
          <w:sz w:val="18"/>
        </w:rPr>
        <w:t>tos_use всегда читается вместе с rights_scope, coverage, verification_status и notes.</w:t>
      </w:r>
    </w:p>
    <w:p>
      <w:pPr>
        <w:pStyle w:val="ListBullet"/>
        <w:widowControl/>
        <w:spacing w:after="50"/>
        <w:ind w:left="255" w:hanging="113"/>
      </w:pPr>
      <w:r>
        <w:rPr>
          <w:rFonts w:ascii="Noto Sans" w:hAnsi="Noto Sans" w:eastAsia="Noto Sans"/>
          <w:color w:val="172A31"/>
          <w:sz w:val="18"/>
        </w:rPr>
        <w:t>RIGHTS_REVIEW_REQUIRED блокирует автоматическое расширение положительного тега за пределы доказанного компонента.</w:t>
      </w:r>
    </w:p>
    <w:p>
      <w:pPr>
        <w:pStyle w:val="Heading2"/>
        <w:widowControl/>
      </w:pPr>
      <w:r>
        <w:t>Что означает количественный итог</w:t>
      </w:r>
    </w:p>
    <w:p>
      <w:pPr>
        <w:widowControl/>
      </w:pPr>
      <w:r>
        <w:rPr>
          <w:rFonts w:ascii="Noto Sans" w:hAnsi="Noto Sans" w:eastAsia="Noto Sans"/>
          <w:color w:val="172A31"/>
          <w:sz w:val="18"/>
        </w:rPr>
        <w:t>Пакет охватывает приблизительно 65–70 именованных первичных произведений и корпусных единиц, дополнительно 15 конкретных рукописных или фрагментарных свидетелей, а также издания, переводы, наборы данных, цифровые проекты и вторичную навигацию. Число произведений сознательно дано диапазоном: фрагментарные авторы, LXX-книги, композитные корпуса и отдельные рукописные копии невозможно честно свести к одной ложно-точной метрике.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EAF3F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B6B73"/>
              <w:left w:val="single" w:sz="18" w:color="0B6B73"/>
              <w:bottom w:val="single" w:sz="8" w:color="0B6B73"/>
              <w:right w:val="single" w:sz="8" w:color="0B6B73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0B6B73"/>
                <w:sz w:val="18"/>
              </w:rPr>
              <w:t>Фокус A30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Два полюса удерживаются вместе, но не смешиваются: александрийская грекоязычная переводческая и аллегорическая теология — и иудейско-кумранская scriptural rationality правил, pesharim и revelatory wisdom.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1. Паспорт</w:t>
      </w:r>
    </w:p>
    <w:p>
      <w:pPr>
        <w:spacing w:before="40" w:after="120"/>
        <w:widowControl/>
        <w:pBdr>
          <w:bottom w:val="single" w:sz="8" w:space="1" w:color="0B6B73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ID и название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A30 — Западная Азия / Египет: Второй Храм и иудейско-эллинистическая философская теология.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Исходный статус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A; уверенность 4. Ни ID, ни статус, ни место строки в мастер-хронологии не изменялись.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Исторический фокус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Ядро: ок. III в. до н. э. — I в. н. э.; корпусный поиск открыт назад к Торе и старшей мудрости, вперёд — к христианской рукописной передаче, позднеантичным цитатам и современным цифровым изданиям.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Исходный DR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ToS Deep Research_ A30 — Второй Храм и иудейско-эллинистическая философская теология(1).docx. Использован как карта области, а не как закрытый инвентарь.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Дата живой проверки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2026-09-03.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Языки поиска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Русский и английский; древнегреческие названия и CTS-идентификаторы; еврейские и арамейские сиглы; немецкие, французские и латинские библиографические формы.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Ядро корпуса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Септуагинта; Letter of Aristeas; фрагменты Аристобула; 4QInstruction; Community Rule; Pesher Habakkuk; Wisdom of Solomon; корпус Филона; 4 Maccabees.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Искомые объекты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Произведения и корпусы; конкретные рукописи и фрагменты; старые и современные переводы/издания; факсимиле; TEI/XML и plain-text datasets; цифровые проекты, API-подобные входы, каталоги и официальные rights statements.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Классы доступа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Бесплатное чтение и скачивание; регистрация/институциональный доступ; библиотечная выдача; preview; покупка; metadata-only; временно недоступные официальные страницы.</w:t>
            </w:r>
          </w:p>
        </w:tc>
      </w:tr>
    </w:tbl>
    <w:p>
      <w:pPr>
        <w:pStyle w:val="Heading2"/>
        <w:widowControl/>
      </w:pPr>
      <w:r>
        <w:t>1.1. Метод исследования</w:t>
      </w:r>
    </w:p>
    <w:p>
      <w:pPr>
        <w:widowControl/>
      </w:pPr>
      <w:r>
        <w:rPr>
          <w:rFonts w:ascii="Noto Sans" w:hAnsi="Noto Sans" w:eastAsia="Noto Sans"/>
          <w:color w:val="172A31"/>
          <w:sz w:val="18"/>
        </w:rPr>
        <w:t>Сначала были инвентаризированы названия, корпуса, языки, свидетели и цифровые проекты, заданные исходным DR. Затем выполнены отдельные проходы по греческим и еврейско-арамейским названиям, CTS URN, Qumran sigla, ISBN/DOI, библиотечным shelfmark и устойчивым идентификаторам. Каждая найденная страница проверялась в двух независимых ролях: как access source — где читать, скачивать, брать или покупать, — и как evidence source — чем подтверждаются идентичность версии, состав корпуса и права.</w:t>
      </w:r>
    </w:p>
    <w:p>
      <w:pPr>
        <w:widowControl/>
      </w:pPr>
      <w:r>
        <w:rPr>
          <w:rFonts w:ascii="Noto Sans" w:hAnsi="Noto Sans" w:eastAsia="Noto Sans"/>
          <w:color w:val="172A31"/>
          <w:sz w:val="18"/>
        </w:rPr>
        <w:t>Исследование не заменяло сильный защищённый источник слабым открытым пересказом. Поэтому в реестре одновременно присутствуют свободные исторические издания, открытые TEI/XML, ограниченные музейные факсимиле, современные платные критические издания и библиотечные маршруты. Одна страница проекта не раздувалась в десятки строк, если не существовало действительно различимых work-level, witness-level или file-level способов доступа.</w:t>
      </w:r>
    </w:p>
    <w:p>
      <w:pPr>
        <w:pStyle w:val="Heading2"/>
        <w:widowControl/>
      </w:pPr>
      <w:r>
        <w:t>1.2. Классы доказательств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1871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Роль источника</w:t>
            </w:r>
          </w:p>
        </w:tc>
        <w:tc>
          <w:tcPr>
            <w:tcW w:type="dxa" w:w="3969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Что использовалось</w:t>
            </w:r>
          </w:p>
        </w:tc>
        <w:tc>
          <w:tcPr>
            <w:tcW w:type="dxa" w:w="3969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Как применялось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Access source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Scaife/Perseus, NETS, OCP, IAA, Israel Museum, Sefaria, Wikisource, HathiTrust, Internet Archive, издатели.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Фиксация чтения, скачивания, facsimile, dataset, borrow, preview, purchase или metadata-only режима.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Библиографическая идентификация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CTS URN, Qumran sigla, shelfmark, ISBN, DOI, издательские и библиотечные каталоги.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Различение произведения, версии, перевода, редакции, физического свидетеля и объёма coverage.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Rights evidence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Файл LICENSE или TEI header, item-level rights statement, официальные Terms of Use, publisher copyright page.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Раздельная оценка древнего произведения, современной версии, цифрового объекта и условий платформы.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Вторичная навигация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SEP, IOSCS recommendations и специализированные академические series pages.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Только для границ корпуса, выбора критического издания и локализации первичных входов.</w:t>
            </w:r>
          </w:p>
        </w:tc>
      </w:tr>
    </w:tbl>
    <w:p>
      <w:pPr>
        <w:pStyle w:val="Heading2"/>
        <w:widowControl/>
      </w:pPr>
      <w:r>
        <w:t>1.3. Политика слабых источников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FBF3D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D9A441"/>
              <w:left w:val="single" w:sz="18" w:color="D9A441"/>
              <w:bottom w:val="single" w:sz="8" w:color="D9A441"/>
              <w:right w:val="single" w:sz="8" w:color="D9A44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D9A441"/>
                <w:sz w:val="18"/>
              </w:rPr>
              <w:t>Wikipedia и общие агрегаторы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Ни одна ссылка на Wikipedia не перенесена в DOCX или XLSX. Wikipedia, блоги, SEO-страницы и поисковые сниппеты не использовались как landing_url, rights_evidence_url или основание историко-правового вывода. Отдельных unverified_candidate, существование которых держалось бы только на слабом источнике, в основной реестр не включено.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2. Охват корпуса</w:t>
      </w:r>
    </w:p>
    <w:p>
      <w:pPr>
        <w:spacing w:before="40" w:after="120"/>
        <w:widowControl/>
        <w:pBdr>
          <w:bottom w:val="single" w:sz="8" w:space="1" w:color="0B6B73"/>
        </w:pBdr>
      </w:pPr>
    </w:p>
    <w:p>
      <w:pPr>
        <w:pStyle w:val="Heading2"/>
        <w:widowControl/>
      </w:pPr>
      <w:r>
        <w:t>2.1. Количественная картина без смешения произведений и ссылок</w:t>
      </w:r>
    </w:p>
    <w:p>
      <w:pPr>
        <w:widowControl/>
      </w:pPr>
      <w:r>
        <w:rPr>
          <w:rFonts w:ascii="Noto Sans" w:hAnsi="Noto Sans" w:eastAsia="Noto Sans"/>
          <w:color w:val="172A31"/>
          <w:sz w:val="18"/>
        </w:rPr>
        <w:t>Реестр содержит 152 практически отличимых записей доступа и 20 целевых пробелов. Это не число произведений. После концептуального сведения повторных маршрутов, переводов, work-level XML, рукописей и инфраструктуры пакет покрывает приблизительно 65–70 именованных произведений или корпусных единиц, плюс 15 конкретных физических свидетелей.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835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relevance</w:t>
            </w:r>
          </w:p>
        </w:tc>
        <w:tc>
          <w:tcPr>
            <w:tcW w:type="dxa" w:w="5499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Роль</w:t>
            </w:r>
          </w:p>
        </w:tc>
        <w:tc>
          <w:tcPr>
            <w:tcW w:type="dxa" w:w="1474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Записей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core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Ядро строки</w:t>
            </w:r>
          </w:p>
        </w:tc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75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same_corpus_or_tradition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Прямые члены той же традиции</w:t>
            </w:r>
          </w:p>
        </w:tc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21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antecedent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Более ранние источники</w:t>
            </w:r>
          </w:p>
        </w:tc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transmission_or_preservation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Передача и сохранение</w:t>
            </w:r>
          </w:p>
        </w:tc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18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commentary_or_reception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Комментарий и рецепция</w:t>
            </w:r>
          </w:p>
        </w:tc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11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supporting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Вспомогательные первичные входы</w:t>
            </w:r>
          </w:p>
        </w:tc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infrastructure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Цифровая инфраструктура</w:t>
            </w:r>
          </w:p>
        </w:tc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11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secondary_navigation</w:t>
            </w:r>
          </w:p>
        </w:tc>
        <w:tc>
          <w:tcPr>
            <w:tcW w:type="dxa" w:w="54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Вторичная навигация</w:t>
            </w:r>
          </w:p>
        </w:tc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3</w:t>
            </w:r>
          </w:p>
        </w:tc>
      </w:tr>
    </w:tbl>
    <w:p>
      <w:pP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835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object_type</w:t>
            </w:r>
          </w:p>
        </w:tc>
        <w:tc>
          <w:tcPr>
            <w:tcW w:type="dxa" w:w="1247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Записей</w:t>
            </w:r>
          </w:p>
        </w:tc>
        <w:tc>
          <w:tcPr>
            <w:tcW w:type="dxa" w:w="5726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Что реально учитывается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translation_or_edition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52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Исторические и современные переводы, критические издания, facsimile editions.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digital_text_or_facsimile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40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Web-тексты, сканы, официальные viewers и цифровые факсимиле.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dataset_or_api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32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TEI/XML, CATSS alignment и morphology, отдельные машиночитаемые файлы.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physical_witness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15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Конкретные кумранские фрагменты, кодексы и Genizah witnesses.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digital_project_or_catalogue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10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OGL, NETS, OCP, IAA, SQE, Qumran-Digital, Sefaria и series portals.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secondary_navigation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3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Официальная/академическая навигация, не заменяющая item-level доступ.</w:t>
            </w:r>
          </w:p>
        </w:tc>
      </w:tr>
    </w:tbl>
    <w:p>
      <w:pPr>
        <w:pStyle w:val="Heading2"/>
        <w:widowControl/>
      </w:pPr>
      <w:r>
        <w:t>2.2. Центральное ядро</w:t>
      </w:r>
    </w:p>
    <w:p>
      <w:pPr>
        <w:pStyle w:val="ListBullet"/>
        <w:widowControl/>
        <w:spacing w:after="50"/>
        <w:ind w:left="255" w:hanging="113"/>
      </w:pPr>
      <w:r>
        <w:rPr>
          <w:rFonts w:ascii="Noto Sans" w:hAnsi="Noto Sans" w:eastAsia="Noto Sans"/>
          <w:b/>
          <w:color w:val="123B4A"/>
          <w:sz w:val="18"/>
        </w:rPr>
        <w:t>Септуагинта.</w:t>
      </w:r>
      <w:r>
        <w:rPr>
          <w:rFonts w:ascii="Noto Sans" w:hAnsi="Noto Sans" w:eastAsia="Noto Sans"/>
          <w:color w:val="172A31"/>
          <w:sz w:val="18"/>
        </w:rPr>
      </w:r>
      <w:r>
        <w:t xml:space="preserve"> В реестре разведены сам переводной корпус, отдельные книги, современные защищённые NETS-переводы, исторические греческие издания Swete/Brenton, Rahlfs-Hanhart как современный reference, CATSS как computational layer и большие кодексы как поздние физические свидетели.</w:t>
      </w:r>
    </w:p>
    <w:p>
      <w:pPr>
        <w:pStyle w:val="ListBullet"/>
        <w:widowControl/>
        <w:spacing w:after="50"/>
        <w:ind w:left="255" w:hanging="113"/>
      </w:pPr>
      <w:r>
        <w:rPr>
          <w:rFonts w:ascii="Noto Sans" w:hAnsi="Noto Sans" w:eastAsia="Noto Sans"/>
          <w:b/>
          <w:color w:val="123B4A"/>
          <w:sz w:val="18"/>
        </w:rPr>
        <w:t>Letter of Aristeas.</w:t>
      </w:r>
      <w:r>
        <w:rPr>
          <w:rFonts w:ascii="Noto Sans" w:hAnsi="Noto Sans" w:eastAsia="Noto Sans"/>
          <w:color w:val="172A31"/>
          <w:sz w:val="18"/>
        </w:rPr>
      </w:r>
      <w:r>
        <w:t xml:space="preserve"> Зафиксированы греческий Wendland, английский Andrews/Charles/Thackeray, два русских слоя, Sefaria, OCP XML и современный критический Wright. Легендарный сюжет о переводчиках не использован как буквальный исторический протокол.</w:t>
      </w:r>
    </w:p>
    <w:p>
      <w:pPr>
        <w:pStyle w:val="ListBullet"/>
        <w:widowControl/>
        <w:spacing w:after="50"/>
        <w:ind w:left="255" w:hanging="113"/>
      </w:pPr>
      <w:r>
        <w:rPr>
          <w:rFonts w:ascii="Noto Sans" w:hAnsi="Noto Sans" w:eastAsia="Noto Sans"/>
          <w:b/>
          <w:color w:val="123B4A"/>
          <w:sz w:val="18"/>
        </w:rPr>
        <w:t>Аристобул.</w:t>
      </w:r>
      <w:r>
        <w:rPr>
          <w:rFonts w:ascii="Noto Sans" w:hAnsi="Noto Sans" w:eastAsia="Noto Sans"/>
          <w:color w:val="172A31"/>
          <w:sz w:val="18"/>
        </w:rPr>
      </w:r>
      <w:r>
        <w:t xml:space="preserve"> Фрагментарный корпус отделён от поздних каналов сохранения: OCP XML, Praeparatio Evangelica Евсевия, Stromata Климента и современный том Holladay.</w:t>
      </w:r>
    </w:p>
    <w:p>
      <w:pPr>
        <w:pStyle w:val="ListBullet"/>
        <w:widowControl/>
        <w:spacing w:after="50"/>
        <w:ind w:left="255" w:hanging="113"/>
      </w:pPr>
      <w:r>
        <w:rPr>
          <w:rFonts w:ascii="Noto Sans" w:hAnsi="Noto Sans" w:eastAsia="Noto Sans"/>
          <w:b/>
          <w:color w:val="123B4A"/>
          <w:sz w:val="18"/>
        </w:rPr>
        <w:t>Кумранская scriptural rationality.</w:t>
      </w:r>
      <w:r>
        <w:rPr>
          <w:rFonts w:ascii="Noto Sans" w:hAnsi="Noto Sans" w:eastAsia="Noto Sans"/>
          <w:color w:val="172A31"/>
          <w:sz w:val="18"/>
        </w:rPr>
      </w:r>
      <w:r>
        <w:t xml:space="preserve"> 4QInstruction представлен не одной фиктивно-полной строкой, а witness-level маршрутами 1Q26, 4Q415–418, 4Q423; рядом помещены 4Q525, Mysteries, Community Rule, Pesher Habakkuk, официальные IAA/Israel Museum изображения, DJD и исследовательские платформы.</w:t>
      </w:r>
    </w:p>
    <w:p>
      <w:pPr>
        <w:pStyle w:val="ListBullet"/>
        <w:widowControl/>
        <w:spacing w:after="50"/>
        <w:ind w:left="255" w:hanging="113"/>
      </w:pPr>
      <w:r>
        <w:rPr>
          <w:rFonts w:ascii="Noto Sans" w:hAnsi="Noto Sans" w:eastAsia="Noto Sans"/>
          <w:b/>
          <w:color w:val="123B4A"/>
          <w:sz w:val="18"/>
        </w:rPr>
        <w:t>Wisdom of Solomon.</w:t>
      </w:r>
      <w:r>
        <w:rPr>
          <w:rFonts w:ascii="Noto Sans" w:hAnsi="Noto Sans" w:eastAsia="Noto Sans"/>
          <w:color w:val="172A31"/>
          <w:sz w:val="18"/>
        </w:rPr>
      </w:r>
      <w:r>
        <w:t xml:space="preserve"> Сопоставлены NETS, Sefaria, русская Wikisource, исторические LXX editions, CATSS morphology и кодексы; современный Göttingen-level critical route оставлен как targeted gap.</w:t>
      </w:r>
    </w:p>
    <w:p>
      <w:pPr>
        <w:pStyle w:val="ListBullet"/>
        <w:widowControl/>
        <w:spacing w:after="50"/>
        <w:ind w:left="255" w:hanging="113"/>
      </w:pPr>
      <w:r>
        <w:rPr>
          <w:rFonts w:ascii="Noto Sans" w:hAnsi="Noto Sans" w:eastAsia="Noto Sans"/>
          <w:b/>
          <w:color w:val="123B4A"/>
          <w:sz w:val="18"/>
        </w:rPr>
        <w:t>Корпус Филона.</w:t>
      </w:r>
      <w:r>
        <w:rPr>
          <w:rFonts w:ascii="Noto Sans" w:hAnsi="Noto Sans" w:eastAsia="Noto Sans"/>
          <w:color w:val="172A31"/>
          <w:sz w:val="18"/>
        </w:rPr>
      </w:r>
      <w:r>
        <w:t xml:space="preserve"> Получены 31 самостоятельный work-level греческий CTS/TEI вход, исторический английский Yonge, HathiTrust/Internet Archive, современный Loeb и Philo of Alexandria Commentary Series, а также ограниченный русский издательский маршрут.</w:t>
      </w:r>
    </w:p>
    <w:p>
      <w:pPr>
        <w:pStyle w:val="ListBullet"/>
        <w:widowControl/>
        <w:spacing w:after="50"/>
        <w:ind w:left="255" w:hanging="113"/>
      </w:pPr>
      <w:r>
        <w:rPr>
          <w:rFonts w:ascii="Noto Sans" w:hAnsi="Noto Sans" w:eastAsia="Noto Sans"/>
          <w:b/>
          <w:color w:val="123B4A"/>
          <w:sz w:val="18"/>
        </w:rPr>
        <w:t>4 Maccabees.</w:t>
      </w:r>
      <w:r>
        <w:rPr>
          <w:rFonts w:ascii="Noto Sans" w:hAnsi="Noto Sans" w:eastAsia="Noto Sans"/>
          <w:color w:val="172A31"/>
          <w:sz w:val="18"/>
        </w:rPr>
      </w:r>
      <w:r>
        <w:t xml:space="preserve"> Разведены открытый OCP XML, защищённый NETS PDF, историческая русская Wikisource, Swete volume III, manuscript transmission и современный critical-edition gap.</w:t>
      </w:r>
    </w:p>
    <w:p>
      <w:pPr>
        <w:pStyle w:val="Heading2"/>
        <w:widowControl/>
      </w:pPr>
      <w:r>
        <w:t>2.3. Поиск назад во времени: antecedent-слой</w:t>
      </w:r>
    </w:p>
    <w:p>
      <w:pPr>
        <w:widowControl/>
      </w:pPr>
      <w:r>
        <w:rPr>
          <w:rFonts w:ascii="Noto Sans" w:hAnsi="Noto Sans" w:eastAsia="Noto Sans"/>
          <w:color w:val="172A31"/>
          <w:sz w:val="18"/>
        </w:rPr>
        <w:t>Хронологический контур расширен назад не по тематическому сходству вообще, а по конкретным текстовым функциям. Тора в греческом переводе — непосредственная основа Филона и переводческой идеологии Aristeas. Proverbs, Job и Qoheleth образуют старшую мудростную матрицу; Sirach — ближайший еврейско-греческий предшественник для поздневторохрамовой wisdom. Habakkuk включён как цитируемая scriptural base конкретного pesher, а не как общий пророческий фон.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1984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Antecedent</w:t>
            </w:r>
          </w:p>
        </w:tc>
        <w:tc>
          <w:tcPr>
            <w:tcW w:type="dxa" w:w="5159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Конкретная связь с A30</w:t>
            </w:r>
          </w:p>
        </w:tc>
        <w:tc>
          <w:tcPr>
            <w:tcW w:type="dxa" w:w="2665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Лучший найденный тип доступа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Тора / Genesis–Deuteronomy</w:t>
            </w:r>
          </w:p>
        </w:tc>
        <w:tc>
          <w:tcPr>
            <w:tcW w:type="dxa" w:w="515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Переводной фундамент Aristeas и Филона; nomos/Torah.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NETS; исторический Greek LXX; CATSS alignment.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Proverbs</w:t>
            </w:r>
          </w:p>
        </w:tc>
        <w:tc>
          <w:tcPr>
            <w:tcW w:type="dxa" w:w="515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Старший греческий и еврейский sapiential vocabulary.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NETS + CATSS Hebrew–Greek alignment.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Job</w:t>
            </w:r>
          </w:p>
        </w:tc>
        <w:tc>
          <w:tcPr>
            <w:tcW w:type="dxa" w:w="515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Теодицея и мудростная антропология, предшествующая Wisdom.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NETS + CATSS alignment.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Qoheleth</w:t>
            </w:r>
          </w:p>
        </w:tc>
        <w:tc>
          <w:tcPr>
            <w:tcW w:type="dxa" w:w="515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Скептический и sapiential comparator внутри поздней scriptural culture.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NETS + CATSS alignment.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Sirach / Ben Sira</w:t>
            </w:r>
          </w:p>
        </w:tc>
        <w:tc>
          <w:tcPr>
            <w:tcW w:type="dxa" w:w="515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Прямой предшественник поздневторохрамовой wisdom; Hebrew/Greek transmission.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NETS; CATSS; Cambridge Genizah witness.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Habakkuk</w:t>
            </w:r>
          </w:p>
        </w:tc>
        <w:tc>
          <w:tcPr>
            <w:tcW w:type="dxa" w:w="515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Текстовая основа 1QpHab и pesher-hermeneutics.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CATSS Greek/Hebrew route + official 1QpHab facsimile.</w:t>
            </w:r>
          </w:p>
        </w:tc>
      </w:tr>
    </w:tbl>
    <w:p>
      <w:pPr>
        <w:pStyle w:val="Heading2"/>
        <w:widowControl/>
      </w:pPr>
      <w:r>
        <w:t>2.4. Поиск вперёд: передача, комментарий и рецепция</w:t>
      </w:r>
    </w:p>
    <w:p>
      <w:pPr>
        <w:widowControl/>
      </w:pPr>
      <w:r>
        <w:rPr>
          <w:rFonts w:ascii="Noto Sans" w:hAnsi="Noto Sans" w:eastAsia="Noto Sans"/>
          <w:color w:val="172A31"/>
          <w:sz w:val="18"/>
        </w:rPr>
        <w:t>Поздний контур не превращён в общую историю христианства. В него вошли только объекты, через которые материал A30 реально сохранился, был процитирован, перекомпонован или стал доступен.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494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Поздний объект</w:t>
            </w:r>
          </w:p>
        </w:tc>
        <w:tc>
          <w:tcPr>
            <w:tcW w:type="dxa" w:w="2268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Функция</w:t>
            </w:r>
          </w:p>
        </w:tc>
        <w:tc>
          <w:tcPr>
            <w:tcW w:type="dxa" w:w="5046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Почему включён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Евсевий, Praeparatio Evangelica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transmission_or_preservation</w:t>
            </w:r>
          </w:p>
        </w:tc>
        <w:tc>
          <w:tcPr>
            <w:tcW w:type="dxa" w:w="504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Сохраняет фрагменты Аристобула и других утраченных Hellenistic-Jewish authors.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Климент, Stromata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transmission_or_preservation</w:t>
            </w:r>
          </w:p>
        </w:tc>
        <w:tc>
          <w:tcPr>
            <w:tcW w:type="dxa" w:w="504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Второй главный поздний канал Aristobulus fragments.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Codices Sinaiticus, Vaticanus, Alexandrinus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transmission_or_preservation</w:t>
            </w:r>
          </w:p>
        </w:tc>
        <w:tc>
          <w:tcPr>
            <w:tcW w:type="dxa" w:w="504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Физически передают Wisdom, 4 Maccabees и широкий LXX layer в христианской кодексной традиции.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Damascus Document A/B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transmission_or_preservation</w:t>
            </w:r>
          </w:p>
        </w:tc>
        <w:tc>
          <w:tcPr>
            <w:tcW w:type="dxa" w:w="504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Средневековые Genizah-копии сохраняют Second Temple sectarian text за пределами Кумрана.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Philo Christian manuscript tradition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transmission_or_preservation</w:t>
            </w:r>
          </w:p>
        </w:tc>
        <w:tc>
          <w:tcPr>
            <w:tcW w:type="dxa" w:w="504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Большая часть корпуса доступна через позднеантичную и христианскую рукописную передачу.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PACS, Loeb, DJD, Holladay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commentary_or_reception</w:t>
            </w:r>
          </w:p>
        </w:tc>
        <w:tc>
          <w:tcPr>
            <w:tcW w:type="dxa" w:w="504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Лучшие современные научные маршруты, даже когда они доступны только через библиотеку или покупку.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OGL, OCP, NETS, IAA, SQE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infrastructure</w:t>
            </w:r>
          </w:p>
        </w:tc>
        <w:tc>
          <w:tcPr>
            <w:tcW w:type="dxa" w:w="504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4"/>
              </w:rPr>
              <w:t>Современный цифровой режим сохранности, поиска и машинной обработки.</w:t>
            </w:r>
          </w:p>
        </w:tc>
      </w:tr>
    </w:tbl>
    <w:p>
      <w:pPr>
        <w:pStyle w:val="Heading2"/>
        <w:widowControl/>
      </w:pPr>
      <w:r>
        <w:t>2.5. Категориальные границы</w:t>
      </w:r>
    </w:p>
    <w:p>
      <w:pPr>
        <w:widowControl/>
      </w:pPr>
      <w:r>
        <w:rPr>
          <w:rFonts w:ascii="Noto Sans" w:hAnsi="Noto Sans" w:eastAsia="Noto Sans"/>
          <w:color w:val="172A31"/>
          <w:sz w:val="18"/>
        </w:rPr>
        <w:t>Отдельных записей с relevance=continuation или boundary не создавалось. Поздние объекты здесь не являются самостоятельным продолжением философской школы A30: они точнее описываются как transmission_or_preservation либо commentary_or_reception. Пограничные с A13 и A32 объекты включались только при наличии конкретной текстовой функции — например, Habakkuk как база 1QpHab или христианские кодексы как носители Wisdom и 4 Maccabees.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FBF3D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D9A441"/>
              <w:left w:val="single" w:sz="18" w:color="D9A441"/>
              <w:bottom w:val="single" w:sz="8" w:color="D9A441"/>
              <w:right w:val="single" w:sz="8" w:color="D9A44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D9A441"/>
                <w:sz w:val="18"/>
              </w:rPr>
              <w:t>Что не включалось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Общая патристика, весь Талмуд, неоплатонизм, вся литература Второго Храма и позднейшая еврейская философия не разворачивались как самостоятельные библиографии. Они попадали в реестр только там, где обнаружена прямая корпусная, цитатная, переводная или сохранительная связь.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3. Лучшие пути доступа</w:t>
      </w:r>
    </w:p>
    <w:p>
      <w:pPr>
        <w:spacing w:before="40" w:after="120"/>
        <w:widowControl/>
        <w:pBdr>
          <w:bottom w:val="single" w:sz="8" w:space="1" w:color="0B6B73"/>
        </w:pBdr>
      </w:pPr>
    </w:p>
    <w:p>
      <w:pPr>
        <w:pStyle w:val="Lead"/>
        <w:widowControl/>
      </w:pPr>
      <w:r>
        <w:rPr>
          <w:rFonts w:ascii="Noto Serif" w:hAnsi="Noto Serif" w:eastAsia="Noto Serif"/>
          <w:color w:val="172A31"/>
          <w:sz w:val="21"/>
        </w:rPr>
        <w:t>Ниже перечислены не все 152 строки, а лучшие и взаимодополняющие маршруты по главным произведениям и корпусам. Для каждого объекта разведены удобство чтения, научное качество, машиночитаемость и правовая свобода.</w:t>
      </w:r>
    </w:p>
    <w:p>
      <w:pPr>
        <w:pStyle w:val="Heading2"/>
        <w:widowControl/>
      </w:pPr>
      <w:r>
        <w:t>3.1. Септуагинта и греческое scriptural ядро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A30-R003 · </w:t>
      </w:r>
      <w:hyperlink r:id="rId11">
        <w:r>
          <w:rPr>
            <w:color w:val="24566A"/>
            <w:u w:val="single"/>
            <w:rFonts w:ascii="Noto Sans" w:hAnsi="Noto Sans" w:eastAsia="Noto Sans"/>
            <w:sz w:val="18"/>
          </w:rPr>
          <w:t>NETS — официальная электронная редакция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бесплатный современный английский маршрут; PDF можно скачать для личной научной работы, но не распространять.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A30-R078 · </w:t>
      </w:r>
      <w:hyperlink r:id="rId12">
        <w:r>
          <w:rPr>
            <w:color w:val="24566A"/>
            <w:u w:val="single"/>
            <w:rFonts w:ascii="Noto Sans" w:hAnsi="Noto Sans" w:eastAsia="Noto Sans"/>
            <w:sz w:val="18"/>
          </w:rPr>
          <w:t>Brenton 1851 — греческо-английское историческое издание</w:t>
        </w:r>
      </w:hyperlink>
      <w:r>
        <w:rPr>
          <w:rFonts w:ascii="Noto Sans" w:hAnsi="Noto Sans" w:eastAsia="Noto Sans"/>
          <w:color w:val="172A31"/>
          <w:sz w:val="17"/>
        </w:rPr>
        <w:t xml:space="preserve"> — самый свободный широкий bilingual слой; Public Domain Mark относится к конкретному item, а не ко всем LXX-версиям.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A30-R075–R077 · </w:t>
      </w:r>
      <w:hyperlink r:id="rId13">
        <w:r>
          <w:rPr>
            <w:color w:val="24566A"/>
            <w:u w:val="single"/>
            <w:rFonts w:ascii="Noto Sans" w:hAnsi="Noto Sans" w:eastAsia="Noto Sans"/>
            <w:sz w:val="18"/>
          </w:rPr>
          <w:t>Swete, volumes I–III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набор скачиваемых исторических греческих томов с аппаратом; третий том включает 1–4 Maccabees.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A30-R080 · </w:t>
      </w:r>
      <w:hyperlink r:id="rId14">
        <w:r>
          <w:rPr>
            <w:color w:val="24566A"/>
            <w:u w:val="single"/>
            <w:rFonts w:ascii="Noto Sans" w:hAnsi="Noto Sans" w:eastAsia="Noto Sans"/>
            <w:sz w:val="18"/>
          </w:rPr>
          <w:t>Rahlfs-Hanhart</w:t>
        </w:r>
      </w:hyperlink>
      <w:r>
        <w:rPr>
          <w:rFonts w:ascii="Noto Sans" w:hAnsi="Noto Sans" w:eastAsia="Noto Sans"/>
          <w:color w:val="172A31"/>
          <w:sz w:val="17"/>
        </w:rPr>
        <w:t xml:space="preserve"> — наиболее практичный современный Greek reference; защищён и доступен по покупке.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A30-R005–R006, R086–R097 · </w:t>
      </w:r>
      <w:hyperlink r:id="rId15">
        <w:r>
          <w:rPr>
            <w:color w:val="24566A"/>
            <w:u w:val="single"/>
            <w:rFonts w:ascii="Noto Sans" w:hAnsi="Noto Sans" w:eastAsia="Noto Sans"/>
            <w:sz w:val="18"/>
          </w:rPr>
          <w:t>CATSS alignment и morphology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машиночитаемый сравнительный слой; открытый download не превращён в разрешение на зеркалирование.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A30-R081–R085 · </w:t>
      </w:r>
      <w:hyperlink r:id="rId16">
        <w:r>
          <w:rPr>
            <w:color w:val="24566A"/>
            <w:u w:val="single"/>
            <w:rFonts w:ascii="Noto Sans" w:hAnsi="Noto Sans" w:eastAsia="Noto Sans"/>
            <w:sz w:val="18"/>
          </w:rPr>
          <w:t>Sinaiticus, Vaticanus и Alexandrinus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witness-level контроль древнего греческого текста; права на цифровые изображения отделены от прав на древний текст.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EAF3F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B6B73"/>
              <w:left w:val="single" w:sz="18" w:color="0B6B73"/>
              <w:bottom w:val="single" w:sz="8" w:color="0B6B73"/>
              <w:right w:val="single" w:sz="8" w:color="0B6B73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0B6B73"/>
                <w:sz w:val="18"/>
              </w:rPr>
              <w:t>Вывод для ToS по LXX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Для публичного чтения — NETS и Sefaria; для свободного historical base — Brenton/Swete; для научной сверки — Rahlfs-Hanhart и Göttingen-level editions; для вычислительной работы — CATSS после отдельной проверки лицензии; для собственной переводаческой работы — открытый или public-domain Greek layer, а не защищённый NETS.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3.2. Letter of Aristeas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A30-R099 · </w:t>
      </w:r>
      <w:hyperlink r:id="rId17">
        <w:r>
          <w:rPr>
            <w:color w:val="24566A"/>
            <w:u w:val="single"/>
            <w:rFonts w:ascii="Noto Sans" w:hAnsi="Noto Sans" w:eastAsia="Noto Sans"/>
            <w:sz w:val="18"/>
          </w:rPr>
          <w:t>DHonorare: Wendland 1900 Greek text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многоязычный web-interface с Greek/English/Russian columns; digital presentation защищён.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A30-R106 · </w:t>
      </w:r>
      <w:hyperlink r:id="rId18">
        <w:r>
          <w:rPr>
            <w:color w:val="24566A"/>
            <w:u w:val="single"/>
            <w:rFonts w:ascii="Noto Sans" w:hAnsi="Noto Sans" w:eastAsia="Noto Sans"/>
            <w:sz w:val="18"/>
          </w:rPr>
          <w:t>OCP XML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машиночитаемый critical route; exact CC variant остаётся на ручной проверке.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A30-R103 · </w:t>
      </w:r>
      <w:hyperlink r:id="rId19">
        <w:r>
          <w:rPr>
            <w:color w:val="24566A"/>
            <w:u w:val="single"/>
            <w:rFonts w:ascii="Noto Sans" w:hAnsi="Noto Sans" w:eastAsia="Noto Sans"/>
            <w:sz w:val="18"/>
          </w:rPr>
          <w:t>Charles/Andrews historical English</w:t>
        </w:r>
      </w:hyperlink>
      <w:r>
        <w:rPr>
          <w:rFonts w:ascii="Noto Sans" w:hAnsi="Noto Sans" w:eastAsia="Noto Sans"/>
          <w:color w:val="172A31"/>
          <w:sz w:val="17"/>
        </w:rPr>
        <w:t xml:space="preserve"> — быстрое бесплатное полное чтение старого английского перевода.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A30-R104 · </w:t>
      </w:r>
      <w:hyperlink r:id="rId20">
        <w:r>
          <w:rPr>
            <w:color w:val="24566A"/>
            <w:u w:val="single"/>
            <w:rFonts w:ascii="Noto Sans" w:hAnsi="Noto Sans" w:eastAsia="Noto Sans"/>
            <w:sz w:val="18"/>
          </w:rPr>
          <w:t>Thackeray historical edition</w:t>
        </w:r>
      </w:hyperlink>
      <w:r>
        <w:rPr>
          <w:rFonts w:ascii="Noto Sans" w:hAnsi="Noto Sans" w:eastAsia="Noto Sans"/>
          <w:color w:val="172A31"/>
          <w:sz w:val="17"/>
        </w:rPr>
        <w:t xml:space="preserve"> — скачиваемый исторический route, но live-проверка item на этом проходе завершилась timeout.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A30-R105 · </w:t>
      </w:r>
      <w:hyperlink r:id="rId21">
        <w:r>
          <w:rPr>
            <w:color w:val="24566A"/>
            <w:u w:val="single"/>
            <w:rFonts w:ascii="Noto Sans" w:hAnsi="Noto Sans" w:eastAsia="Noto Sans"/>
            <w:sz w:val="18"/>
          </w:rPr>
          <w:t>Benjamin G. Wright III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современный специальный scholarly route; institutional access, preview или purchase.</w:t>
      </w:r>
    </w:p>
    <w:p>
      <w:pPr>
        <w:widowControl/>
      </w:pPr>
      <w:r>
        <w:rPr>
          <w:rFonts w:ascii="Noto Sans" w:hAnsi="Noto Sans" w:eastAsia="Noto Sans"/>
          <w:color w:val="172A31"/>
          <w:sz w:val="18"/>
        </w:rPr>
        <w:t>На русском наиболее полезна пара DHonorare: современный перевод Дружининой–Тахтаджяна (A30-R101, link-only) и исторический перевод Иваницкого (A30-R102, rights review). Ни один современный русский слой не объявлен свободным только потому, что само произведение древнее.</w:t>
      </w:r>
    </w:p>
    <w:p>
      <w:pPr>
        <w:pStyle w:val="Heading2"/>
        <w:widowControl/>
      </w:pPr>
      <w:r>
        <w:t>3.3. Аристобул и утраченная иудейско-греческая экзегеза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A30-R107 · </w:t>
      </w:r>
      <w:hyperlink r:id="rId22">
        <w:r>
          <w:rPr>
            <w:color w:val="24566A"/>
            <w:u w:val="single"/>
            <w:rFonts w:ascii="Noto Sans" w:hAnsi="Noto Sans" w:eastAsia="Noto Sans"/>
            <w:sz w:val="18"/>
          </w:rPr>
          <w:t>OCP Aristob.xml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собранный цифровой вход к реально сохранившимся фрагментам.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A30-R124 · </w:t>
      </w:r>
      <w:hyperlink r:id="rId23">
        <w:r>
          <w:rPr>
            <w:color w:val="24566A"/>
            <w:u w:val="single"/>
            <w:rFonts w:ascii="Noto Sans" w:hAnsi="Noto Sans" w:eastAsia="Noto Sans"/>
            <w:sz w:val="18"/>
          </w:rPr>
          <w:t>Eusebius, Praeparatio Evangelica</w:t>
        </w:r>
      </w:hyperlink>
      <w:r>
        <w:rPr>
          <w:rFonts w:ascii="Noto Sans" w:hAnsi="Noto Sans" w:eastAsia="Noto Sans"/>
          <w:color w:val="172A31"/>
          <w:sz w:val="17"/>
        </w:rPr>
        <w:t xml:space="preserve"> — главный открытый Greek transmission source; exact TEI — CC BY-SA 4.0.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A30-R125 · </w:t>
      </w:r>
      <w:hyperlink r:id="rId24">
        <w:r>
          <w:rPr>
            <w:color w:val="24566A"/>
            <w:u w:val="single"/>
            <w:rFonts w:ascii="Noto Sans" w:hAnsi="Noto Sans" w:eastAsia="Noto Sans"/>
            <w:sz w:val="18"/>
          </w:rPr>
          <w:t>Clement, Stromata</w:t>
        </w:r>
      </w:hyperlink>
      <w:r>
        <w:rPr>
          <w:rFonts w:ascii="Noto Sans" w:hAnsi="Noto Sans" w:eastAsia="Noto Sans"/>
          <w:color w:val="172A31"/>
          <w:sz w:val="17"/>
        </w:rPr>
        <w:t xml:space="preserve"> — второй ключевой поздний источник; exact file-level licence ещё нужно зафиксировать.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A30-R128 · </w:t>
      </w:r>
      <w:hyperlink r:id="rId25">
        <w:r>
          <w:rPr>
            <w:color w:val="24566A"/>
            <w:u w:val="single"/>
            <w:rFonts w:ascii="Noto Sans" w:hAnsi="Noto Sans" w:eastAsia="Noto Sans"/>
            <w:sz w:val="18"/>
          </w:rPr>
          <w:t>Holladay, FJHA III: Aristobulus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лучшее современное критическое издание и перевод; purchase/library, in copyright.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FBF3D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D9A441"/>
              <w:left w:val="single" w:sz="18" w:color="D9A441"/>
              <w:bottom w:val="single" w:sz="8" w:color="D9A441"/>
              <w:right w:val="single" w:sz="8" w:color="D9A44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D9A441"/>
                <w:sz w:val="18"/>
              </w:rPr>
              <w:t>Почему здесь четыре строки, а не одна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Один слой — реконструированный fragment corpus, другой — древние поздние авторы, у которых фрагменты физически сохранились, третий — современная критическая реконструкция. Они различаются по свидетельству, coverage и правам.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3.4. Кумран, 4QInstruction, Community Rule и pesharim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A30-R008 · </w:t>
      </w:r>
      <w:hyperlink r:id="rId26">
        <w:r>
          <w:rPr>
            <w:color w:val="24566A"/>
            <w:u w:val="single"/>
            <w:rFonts w:ascii="Noto Sans" w:hAnsi="Noto Sans" w:eastAsia="Noto Sans"/>
            <w:sz w:val="18"/>
          </w:rPr>
          <w:t>Leon Levy DSS Digital Library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официальный item-level discovery layer для рукописей Иудейской пустыни.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A30-R130–R138 · </w:t>
      </w:r>
      <w:hyperlink r:id="rId27">
        <w:r>
          <w:rPr>
            <w:color w:val="24566A"/>
            <w:u w:val="single"/>
            <w:rFonts w:ascii="Noto Sans" w:hAnsi="Noto Sans" w:eastAsia="Noto Sans"/>
            <w:sz w:val="18"/>
          </w:rPr>
          <w:t>1Q26; 4Q415–418; 4Q423; 4Q525; 4Q299; 1QS</w:t>
        </w:r>
      </w:hyperlink>
      <w:r>
        <w:rPr>
          <w:rFonts w:ascii="Noto Sans" w:hAnsi="Noto Sans" w:eastAsia="Noto Sans"/>
          <w:color w:val="172A31"/>
          <w:sz w:val="17"/>
        </w:rPr>
        <w:t xml:space="preserve"> — официальные witness-level facsimiles; ancient text свободен, IAA photography — all rights reserved.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A30-R139 · </w:t>
      </w:r>
      <w:hyperlink r:id="rId28">
        <w:r>
          <w:rPr>
            <w:color w:val="24566A"/>
            <w:u w:val="single"/>
            <w:rFonts w:ascii="Noto Sans" w:hAnsi="Noto Sans" w:eastAsia="Noto Sans"/>
            <w:sz w:val="18"/>
          </w:rPr>
          <w:t>Community Rule / 1QS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отдельный interactive facsimile; на дату проверки автоматический доступ отвечал 502.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A30-R140 · </w:t>
      </w:r>
      <w:hyperlink r:id="rId29">
        <w:r>
          <w:rPr>
            <w:color w:val="24566A"/>
            <w:u w:val="single"/>
            <w:rFonts w:ascii="Noto Sans" w:hAnsi="Noto Sans" w:eastAsia="Noto Sans"/>
            <w:sz w:val="18"/>
          </w:rPr>
          <w:t>Pesher Habakkuk / 1QpHab</w:t>
        </w:r>
      </w:hyperlink>
      <w:r>
        <w:rPr>
          <w:rFonts w:ascii="Noto Sans" w:hAnsi="Noto Sans" w:eastAsia="Noto Sans"/>
          <w:color w:val="172A31"/>
          <w:sz w:val="17"/>
        </w:rPr>
        <w:t xml:space="preserve"> — главный официальный facsimile route к pesher-hermeneutics; image reuse требует permission.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A30-R141 · </w:t>
      </w:r>
      <w:hyperlink r:id="rId30">
        <w:r>
          <w:rPr>
            <w:color w:val="24566A"/>
            <w:u w:val="single"/>
            <w:rFonts w:ascii="Noto Sans" w:hAnsi="Noto Sans" w:eastAsia="Noto Sans"/>
            <w:sz w:val="18"/>
          </w:rPr>
          <w:t>DJD XXXIV — 4QInstruction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лучшее авторитетное современное critical edition; библиотека, institutional access или purchase.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A30-R011 · </w:t>
      </w:r>
      <w:hyperlink r:id="rId31">
        <w:r>
          <w:rPr>
            <w:color w:val="24566A"/>
            <w:u w:val="single"/>
            <w:rFonts w:ascii="Noto Sans" w:hAnsi="Noto Sans" w:eastAsia="Noto Sans"/>
            <w:sz w:val="18"/>
          </w:rPr>
          <w:t>Scripta Qumranica Electronica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collaborative scholarly environment; export/API and rights remain unresolved.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A30-R012 · </w:t>
      </w:r>
      <w:hyperlink r:id="rId32">
        <w:r>
          <w:rPr>
            <w:color w:val="24566A"/>
            <w:u w:val="single"/>
            <w:rFonts w:ascii="Noto Sans" w:hAnsi="Noto Sans" w:eastAsia="Noto Sans"/>
            <w:sz w:val="18"/>
          </w:rPr>
          <w:t>Qumran-Digital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lexical and morphological research route; open reading, restricted reproduction.</w:t>
      </w:r>
    </w:p>
    <w:p>
      <w:pPr>
        <w:widowControl/>
      </w:pPr>
      <w:r>
        <w:rPr>
          <w:rFonts w:ascii="Noto Sans" w:hAnsi="Noto Sans" w:eastAsia="Noto Sans"/>
          <w:b/>
          <w:color w:val="123B4A"/>
          <w:sz w:val="18"/>
        </w:rPr>
        <w:t>Полного открыто лицензированного composite Hebrew text 4QInstruction не найдено. Поэтому OWN_TRANSLATION_POSSIBLE в witness rows означает только возможность перевести legible text конкретного фрагмента; это не обещание полного перевода всего произведения.</w:t>
      </w:r>
    </w:p>
    <w:p>
      <w:pPr>
        <w:pStyle w:val="Heading2"/>
        <w:widowControl/>
      </w:pPr>
      <w:r>
        <w:t>3.5. Wisdom of Solomon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A30-R071 · </w:t>
      </w:r>
      <w:hyperlink r:id="rId33">
        <w:r>
          <w:rPr>
            <w:color w:val="24566A"/>
            <w:u w:val="single"/>
            <w:rFonts w:ascii="Noto Sans" w:hAnsi="Noto Sans" w:eastAsia="Noto Sans"/>
            <w:sz w:val="18"/>
          </w:rPr>
          <w:t>NETS: Wisdom of Salomon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бесплатный современный English translation; защищён и не подлежит зеркалированию.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A30-R148 · </w:t>
      </w:r>
      <w:hyperlink r:id="rId34">
        <w:r>
          <w:rPr>
            <w:color w:val="24566A"/>
            <w:u w:val="single"/>
            <w:rFonts w:ascii="Noto Sans" w:hAnsi="Noto Sans" w:eastAsia="Noto Sans"/>
            <w:sz w:val="18"/>
          </w:rPr>
          <w:t>Sefaria</w:t>
        </w:r>
      </w:hyperlink>
      <w:r>
        <w:rPr>
          <w:rFonts w:ascii="Noto Sans" w:hAnsi="Noto Sans" w:eastAsia="Noto Sans"/>
          <w:color w:val="172A31"/>
          <w:sz w:val="17"/>
        </w:rPr>
        <w:t xml:space="preserve"> — удобное полное чтение; reuse зависит от exact selected version.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A30-R149 · </w:t>
      </w:r>
      <w:hyperlink r:id="rId35">
        <w:r>
          <w:rPr>
            <w:color w:val="24566A"/>
            <w:u w:val="single"/>
            <w:rFonts w:ascii="Noto Sans" w:hAnsi="Noto Sans" w:eastAsia="Noto Sans"/>
            <w:sz w:val="18"/>
          </w:rPr>
          <w:t>Russian Wikisource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найденный русский full-read/download route; source-edition layer remains mixed.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A30-R078 · </w:t>
      </w:r>
      <w:hyperlink r:id="rId12">
        <w:r>
          <w:rPr>
            <w:color w:val="24566A"/>
            <w:u w:val="single"/>
            <w:rFonts w:ascii="Noto Sans" w:hAnsi="Noto Sans" w:eastAsia="Noto Sans"/>
            <w:sz w:val="18"/>
          </w:rPr>
          <w:t>Brenton Greek-English edition</w:t>
        </w:r>
      </w:hyperlink>
      <w:r>
        <w:rPr>
          <w:rFonts w:ascii="Noto Sans" w:hAnsi="Noto Sans" w:eastAsia="Noto Sans"/>
          <w:color w:val="172A31"/>
          <w:sz w:val="17"/>
        </w:rPr>
        <w:t xml:space="preserve"> — наиболее свободный широкий original-language/historical layer.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A30-R093 · </w:t>
      </w:r>
      <w:hyperlink r:id="rId36">
        <w:r>
          <w:rPr>
            <w:color w:val="24566A"/>
            <w:u w:val="single"/>
            <w:rFonts w:ascii="Noto Sans" w:hAnsi="Noto Sans" w:eastAsia="Noto Sans"/>
            <w:sz w:val="18"/>
          </w:rPr>
          <w:t>CATSS Wisdom morphology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token-level machine-readable route; formal reuse licence not located.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A30-R081–R085 · </w:t>
      </w:r>
      <w:hyperlink r:id="rId37">
        <w:r>
          <w:rPr>
            <w:color w:val="24566A"/>
            <w:u w:val="single"/>
            <w:rFonts w:ascii="Noto Sans" w:hAnsi="Noto Sans" w:eastAsia="Noto Sans"/>
            <w:sz w:val="18"/>
          </w:rPr>
          <w:t>Major codices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лучшие manuscript witnesses; photography and viewer terms remain separate.</w:t>
      </w:r>
    </w:p>
    <w:p>
      <w:pPr>
        <w:pStyle w:val="Heading2"/>
        <w:widowControl/>
      </w:pPr>
      <w:r>
        <w:t>3.6. Philo of Alexandria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A30-R002 · </w:t>
      </w:r>
      <w:hyperlink r:id="rId38">
        <w:r>
          <w:rPr>
            <w:color w:val="24566A"/>
            <w:u w:val="single"/>
            <w:rFonts w:ascii="Noto Sans" w:hAnsi="Noto Sans" w:eastAsia="Noto Sans"/>
            <w:sz w:val="18"/>
          </w:rPr>
          <w:t>Scaife Philo corpus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work-level catalogue and web reader for 31 surviving Greek works.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A30-R014–R044 · </w:t>
      </w:r>
      <w:hyperlink r:id="rId39">
        <w:r>
          <w:rPr>
            <w:color w:val="24566A"/>
            <w:u w:val="single"/>
            <w:rFonts w:ascii="Noto Sans" w:hAnsi="Noto Sans" w:eastAsia="Noto Sans"/>
            <w:sz w:val="18"/>
          </w:rPr>
          <w:t>31 Greek CTS/TEI texts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openly licensed machine-readable Greek layer; CC BY-SA 4.0 at repository/file level.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A30-R045 · </w:t>
      </w:r>
      <w:hyperlink r:id="rId40">
        <w:r>
          <w:rPr>
            <w:color w:val="24566A"/>
            <w:u w:val="single"/>
            <w:rFonts w:ascii="Noto Sans" w:hAnsi="Noto Sans" w:eastAsia="Noto Sans"/>
            <w:sz w:val="18"/>
          </w:rPr>
          <w:t>Yonge English at CCEL</w:t>
        </w:r>
      </w:hyperlink>
      <w:r>
        <w:rPr>
          <w:rFonts w:ascii="Noto Sans" w:hAnsi="Noto Sans" w:eastAsia="Noto Sans"/>
          <w:color w:val="172A31"/>
          <w:sz w:val="17"/>
        </w:rPr>
        <w:t xml:space="preserve"> — быстрое бесплатное историческое English full-text access.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A30-R046 · </w:t>
      </w:r>
      <w:hyperlink r:id="rId41">
        <w:r>
          <w:rPr>
            <w:color w:val="24566A"/>
            <w:u w:val="single"/>
            <w:rFonts w:ascii="Noto Sans" w:hAnsi="Noto Sans" w:eastAsia="Noto Sans"/>
            <w:sz w:val="18"/>
          </w:rPr>
          <w:t>Yonge four-volume HathiTrust set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lawful one-record navigation to all four historical volumes.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A30-R050 · </w:t>
      </w:r>
      <w:hyperlink r:id="rId42">
        <w:r>
          <w:rPr>
            <w:color w:val="24566A"/>
            <w:u w:val="single"/>
            <w:rFonts w:ascii="Noto Sans" w:hAnsi="Noto Sans" w:eastAsia="Noto Sans"/>
            <w:sz w:val="18"/>
          </w:rPr>
          <w:t>Loeb Classical Library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compact modern bilingual scholarly access; subscription or purchase.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A30-R051 · </w:t>
      </w:r>
      <w:hyperlink r:id="rId43">
        <w:r>
          <w:rPr>
            <w:color w:val="24566A"/>
            <w:u w:val="single"/>
            <w:rFonts w:ascii="Noto Sans" w:hAnsi="Noto Sans" w:eastAsia="Noto Sans"/>
            <w:sz w:val="18"/>
          </w:rPr>
          <w:t>Philo of Alexandria Commentary Series</w:t>
        </w:r>
      </w:hyperlink>
      <w:r>
        <w:rPr>
          <w:rFonts w:ascii="Noto Sans" w:hAnsi="Noto Sans" w:eastAsia="Noto Sans"/>
          <w:color w:val="172A31"/>
          <w:sz w:val="17"/>
        </w:rPr>
        <w:t xml:space="preserve"> — главная modern commentary line; institutional access or purchase.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A30-R057 · </w:t>
      </w:r>
      <w:hyperlink r:id="rId44">
        <w:r>
          <w:rPr>
            <w:color w:val="24566A"/>
            <w:u w:val="single"/>
            <w:rFonts w:ascii="Noto Sans" w:hAnsi="Noto Sans" w:eastAsia="Noto Sans"/>
            <w:sz w:val="18"/>
          </w:rPr>
          <w:t>Russian On Joseph edition</w:t>
        </w:r>
      </w:hyperlink>
      <w:r>
        <w:rPr>
          <w:rFonts w:ascii="Noto Sans" w:hAnsi="Noto Sans" w:eastAsia="Noto Sans"/>
          <w:color w:val="172A31"/>
          <w:sz w:val="17"/>
        </w:rPr>
        <w:t xml:space="preserve"> — редкий русский scholarly purchase route; modern translation protected.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EAF3F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B6B73"/>
              <w:left w:val="single" w:sz="18" w:color="0B6B73"/>
              <w:bottom w:val="single" w:sz="8" w:color="0B6B73"/>
              <w:right w:val="single" w:sz="8" w:color="0B6B73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0B6B73"/>
                <w:sz w:val="18"/>
              </w:rPr>
              <w:t>Самый свободный слой Филона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Конкретные Greek TEI files OpenGreekAndLatin под CC BY-SA 4.0: их можно хранить, индексировать, встраивать в embeddings и переводить при соблюдении attribution и ShareAlike. Это разрешение не распространяется на Loeb, PACS, современный русский перевод или сторонние изображения.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3.7. 4 Maccabees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A30-R116 · </w:t>
      </w:r>
      <w:hyperlink r:id="rId45">
        <w:r>
          <w:rPr>
            <w:color w:val="24566A"/>
            <w:u w:val="single"/>
            <w:rFonts w:ascii="Noto Sans" w:hAnsi="Noto Sans" w:eastAsia="Noto Sans"/>
            <w:sz w:val="18"/>
          </w:rPr>
          <w:t>OCP 4Macc.xml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open machine-readable Greek/critical route; exact CC variant requires final review.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A30-R066 · </w:t>
      </w:r>
      <w:hyperlink r:id="rId46">
        <w:r>
          <w:rPr>
            <w:color w:val="24566A"/>
            <w:u w:val="single"/>
            <w:rFonts w:ascii="Noto Sans" w:hAnsi="Noto Sans" w:eastAsia="Noto Sans"/>
            <w:sz w:val="18"/>
          </w:rPr>
          <w:t>NETS: 4 Maccabees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бесплатный modern English translation; download for study, no redistribution.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A30-R150 · </w:t>
      </w:r>
      <w:hyperlink r:id="rId47">
        <w:r>
          <w:rPr>
            <w:color w:val="24566A"/>
            <w:u w:val="single"/>
            <w:rFonts w:ascii="Noto Sans" w:hAnsi="Noto Sans" w:eastAsia="Noto Sans"/>
            <w:sz w:val="18"/>
          </w:rPr>
          <w:t>Russian Wikisource</w:t>
        </w:r>
      </w:hyperlink>
      <w:r>
        <w:rPr>
          <w:rFonts w:ascii="Noto Sans" w:hAnsi="Noto Sans" w:eastAsia="Noto Sans"/>
          <w:color w:val="172A31"/>
          <w:sz w:val="17"/>
        </w:rPr>
        <w:t xml:space="preserve"> — лучший lawful Russian historical translation with download formats.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A30-R077 · </w:t>
      </w:r>
      <w:hyperlink r:id="rId48">
        <w:r>
          <w:rPr>
            <w:color w:val="24566A"/>
            <w:u w:val="single"/>
            <w:rFonts w:ascii="Noto Sans" w:hAnsi="Noto Sans" w:eastAsia="Noto Sans"/>
            <w:sz w:val="18"/>
          </w:rPr>
          <w:t>Swete volume III</w:t>
        </w:r>
      </w:hyperlink>
      <w:r>
        <w:rPr>
          <w:rFonts w:ascii="Noto Sans" w:hAnsi="Noto Sans" w:eastAsia="Noto Sans"/>
          <w:color w:val="172A31"/>
          <w:sz w:val="17"/>
        </w:rPr>
        <w:t xml:space="preserve"> — историческая Greek critical route with free download.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A30-R081 / R083 · </w:t>
      </w:r>
      <w:hyperlink r:id="rId16">
        <w:r>
          <w:rPr>
            <w:color w:val="24566A"/>
            <w:u w:val="single"/>
            <w:rFonts w:ascii="Noto Sans" w:hAnsi="Noto Sans" w:eastAsia="Noto Sans"/>
            <w:sz w:val="18"/>
          </w:rPr>
          <w:t>Sinaiticus and Alexandrinus</w:t>
        </w:r>
      </w:hyperlink>
      <w:r>
        <w:rPr>
          <w:rFonts w:ascii="Noto Sans" w:hAnsi="Noto Sans" w:eastAsia="Noto Sans"/>
          <w:color w:val="172A31"/>
          <w:sz w:val="17"/>
        </w:rPr>
        <w:t xml:space="preserve"> — major manuscript transmission; Alexandrinus current official digital images remain a gap.</w:t>
      </w:r>
    </w:p>
    <w:p>
      <w:pPr>
        <w:widowControl/>
        <w:spacing w:after="70"/>
      </w:pPr>
      <w:r>
        <w:rPr>
          <w:rFonts w:ascii="Noto Sans" w:hAnsi="Noto Sans" w:eastAsia="Noto Sans"/>
          <w:b/>
          <w:color w:val="0B6B73"/>
          <w:sz w:val="17"/>
        </w:rPr>
        <w:t xml:space="preserve">A30-R092 · </w:t>
      </w:r>
      <w:hyperlink r:id="rId49">
        <w:r>
          <w:rPr>
            <w:color w:val="24566A"/>
            <w:u w:val="single"/>
            <w:rFonts w:ascii="Noto Sans" w:hAnsi="Noto Sans" w:eastAsia="Noto Sans"/>
            <w:sz w:val="18"/>
          </w:rPr>
          <w:t>CATSS 4 Macc morphology</w:t>
        </w:r>
      </w:hyperlink>
      <w:r>
        <w:rPr>
          <w:rFonts w:ascii="Noto Sans" w:hAnsi="Noto Sans" w:eastAsia="Noto Sans"/>
          <w:color w:val="172A31"/>
          <w:sz w:val="17"/>
        </w:rPr>
        <w:t xml:space="preserve"> — machine-readable analytical layer, rights unresolved.</w:t>
      </w:r>
    </w:p>
    <w:p>
      <w:pPr>
        <w:widowControl/>
      </w:pPr>
      <w:r>
        <w:rPr>
          <w:rFonts w:ascii="Noto Sans" w:hAnsi="Noto Sans" w:eastAsia="Noto Sans"/>
          <w:color w:val="172A31"/>
          <w:sz w:val="18"/>
        </w:rPr>
        <w:t>Современный specialised critical Greek edition и лучший dedicated commentary не были полностью нормализованы до item-level: оба направления вынесены в gaps, а не заменены общими порталами.</w:t>
      </w:r>
    </w:p>
    <w:p>
      <w:pPr>
        <w:pStyle w:val="Heading2"/>
        <w:widowControl/>
      </w:pPr>
      <w:r>
        <w:t>3.8. Лучший маршрут по задаче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268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Задача</w:t>
            </w:r>
          </w:p>
        </w:tc>
        <w:tc>
          <w:tcPr>
            <w:tcW w:type="dxa" w:w="4082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Рекомендуемый первый вход</w:t>
            </w:r>
          </w:p>
        </w:tc>
        <w:tc>
          <w:tcPr>
            <w:tcW w:type="dxa" w:w="3458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Главное ограничение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Быстро читать современный English LXX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NETS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Protected translation; no redistribution.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Скачать широкий Greek LXX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Brenton 1851 или Swete volumes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Historical edition and jurisdiction/source-scan review.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Получить machine-readable Philo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OpenGreekAndLatin TEI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Attribution + ShareAlike; exact file scope.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Получить machine-readable pseudepigrapha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OCP XML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Exact CC variant/component scope still needs final review.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Смотреть Qumran originals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IAA / Israel Museum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Museum/IAA images are not freely reusable.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Читать по-русски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DHonorare Aristeas; Wikisource Wisdom/4 Macc; protected Russian Philo purchase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Russian corpus coverage is uneven and rights differ by version.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Сверять modern scholarship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Loeb, PACS, DJD, Holladay, Rahlfs-Hanhart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Institutional access, library or purchase; no mirroring.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Готовить собственный ToS translation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Open Greek TEI, public-domain Greek editions, exact legible manuscript witness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Translation scope cannot exceed actual text/witness coverage.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4. Карта прав и практического использования</w:t>
      </w:r>
    </w:p>
    <w:p>
      <w:pPr>
        <w:spacing w:before="40" w:after="120"/>
        <w:widowControl/>
        <w:pBdr>
          <w:bottom w:val="single" w:sz="8" w:space="1" w:color="0B6B73"/>
        </w:pBdr>
      </w:pPr>
    </w:p>
    <w:p>
      <w:pPr>
        <w:pStyle w:val="Heading2"/>
        <w:widowControl/>
      </w:pPr>
      <w:r>
        <w:t>4.1. Доступность по режимам</w:t>
      </w:r>
    </w:p>
    <w:p>
      <w:pPr>
        <w:widowControl/>
      </w:pPr>
      <w:r>
        <w:rPr>
          <w:rFonts w:ascii="Noto Sans" w:hAnsi="Noto Sans" w:eastAsia="Noto Sans"/>
          <w:color w:val="172A31"/>
          <w:sz w:val="18"/>
        </w:rPr>
        <w:t>Категории пересекаются: одна строка может одновременно давать чтение и скачивание, а другая — institutional access и purchase. Поэтому суммы ниже не складываются в 152.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381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Режим</w:t>
            </w:r>
          </w:p>
        </w:tc>
        <w:tc>
          <w:tcPr>
            <w:tcW w:type="dxa" w:w="1247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Записей</w:t>
            </w:r>
          </w:p>
        </w:tc>
        <w:tc>
          <w:tcPr>
            <w:tcW w:type="dxa" w:w="6180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Что это означает для ToS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free_full_read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133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Можно законно читать на сайте; право копировать или зеркалировать оценивается отдельно.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free_download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102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Файл доступен для скачивания; download сам по себе не доказывает право повторного размещения.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institutional_access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15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Доступ через университет/библиотеку/подписку; публичное извлечение не разрешено автоматически.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library_borrow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5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Законный маршрут к защищённому изданию без покупки; републикация исключена.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purchase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18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Официальный издательский или книжный маршрут к лучшему современному изданию.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Положительный mirror-тег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56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Только в указанном rights_scope; часть записей одновременно требует RIGHTS_REVIEW_REQUIRED.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OWN_TRANSLATION_POSSIBLE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73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Не число полных произведений: многие теги ограничены одним fragment, witness или конкретной TEI-version.</w:t>
            </w:r>
          </w:p>
        </w:tc>
      </w:tr>
    </w:tbl>
    <w:p>
      <w:pPr>
        <w:pStyle w:val="Heading2"/>
        <w:widowControl/>
      </w:pPr>
      <w:r>
        <w:t>4.2. Что ToS потенциально может зеркалировать</w:t>
      </w:r>
    </w:p>
    <w:p>
      <w:pPr>
        <w:pStyle w:val="ListBullet"/>
        <w:widowControl/>
        <w:spacing w:after="50"/>
        <w:ind w:left="255" w:hanging="113"/>
      </w:pPr>
      <w:r>
        <w:rPr>
          <w:rFonts w:ascii="Noto Sans" w:hAnsi="Noto Sans" w:eastAsia="Noto Sans"/>
          <w:b/>
          <w:color w:val="123B4A"/>
          <w:sz w:val="18"/>
        </w:rPr>
        <w:t>OpenGreekAndLatin Philo и Eusebius TEI.</w:t>
      </w:r>
      <w:r>
        <w:rPr>
          <w:rFonts w:ascii="Noto Sans" w:hAnsi="Noto Sans" w:eastAsia="Noto Sans"/>
          <w:color w:val="172A31"/>
          <w:sz w:val="18"/>
        </w:rPr>
      </w:r>
      <w:r>
        <w:t xml:space="preserve"> Конкретные XML-файлы покрываются CC BY-SA 4.0: обязательны attribution, сохранение notices, указание изменений и ShareAlike. Разрешение относится к точному digital text, а не к Loeb, PACS, modern translations или изображениям.</w:t>
      </w:r>
    </w:p>
    <w:p>
      <w:pPr>
        <w:pStyle w:val="ListBullet"/>
        <w:widowControl/>
        <w:spacing w:after="50"/>
        <w:ind w:left="255" w:hanging="113"/>
      </w:pPr>
      <w:r>
        <w:rPr>
          <w:rFonts w:ascii="Noto Sans" w:hAnsi="Noto Sans" w:eastAsia="Noto Sans"/>
          <w:b/>
          <w:color w:val="123B4A"/>
          <w:sz w:val="18"/>
        </w:rPr>
        <w:t>Brenton 1851.</w:t>
      </w:r>
      <w:r>
        <w:rPr>
          <w:rFonts w:ascii="Noto Sans" w:hAnsi="Noto Sans" w:eastAsia="Noto Sans"/>
          <w:color w:val="172A31"/>
          <w:sz w:val="18"/>
        </w:rPr>
      </w:r>
      <w:r>
        <w:t xml:space="preserve"> Internet Archive item отмечен Public Domain Mark; допустим наиболее свободный сценарий чтения, download, OCR, индексирования и возможного mirror. Перед автоматической публикацией всё равно сохраняются source/jurisdiction review и item provenance.</w:t>
      </w:r>
    </w:p>
    <w:p>
      <w:pPr>
        <w:pStyle w:val="ListBullet"/>
        <w:widowControl/>
        <w:spacing w:after="50"/>
        <w:ind w:left="255" w:hanging="113"/>
      </w:pPr>
      <w:r>
        <w:rPr>
          <w:rFonts w:ascii="Noto Sans" w:hAnsi="Noto Sans" w:eastAsia="Noto Sans"/>
          <w:b/>
          <w:color w:val="123B4A"/>
          <w:sz w:val="18"/>
        </w:rPr>
        <w:t>Wikisource historical Russian layers.</w:t>
      </w:r>
      <w:r>
        <w:rPr>
          <w:rFonts w:ascii="Noto Sans" w:hAnsi="Noto Sans" w:eastAsia="Noto Sans"/>
          <w:color w:val="172A31"/>
          <w:sz w:val="18"/>
        </w:rPr>
      </w:r>
      <w:r>
        <w:t xml:space="preserve"> 4 Maccabees имеет сильный public-domain historical translation плюс CC BY-SA contribution layer. Wisdom имеет смешанный source-edition сигнал, поэтому mirror-tag сохранён только вместе с review.</w:t>
      </w:r>
    </w:p>
    <w:p>
      <w:pPr>
        <w:pStyle w:val="ListBullet"/>
        <w:widowControl/>
        <w:spacing w:after="50"/>
        <w:ind w:left="255" w:hanging="113"/>
      </w:pPr>
      <w:r>
        <w:rPr>
          <w:rFonts w:ascii="Noto Sans" w:hAnsi="Noto Sans" w:eastAsia="Noto Sans"/>
          <w:b/>
          <w:color w:val="123B4A"/>
          <w:sz w:val="18"/>
        </w:rPr>
        <w:t>Online Critical Pseudepigrapha.</w:t>
      </w:r>
      <w:r>
        <w:rPr>
          <w:rFonts w:ascii="Noto Sans" w:hAnsi="Noto Sans" w:eastAsia="Noto Sans"/>
          <w:color w:val="172A31"/>
          <w:sz w:val="18"/>
        </w:rPr>
      </w:r>
      <w:r>
        <w:t xml:space="preserve"> Portal прямо объявляет open access и copyleft-лицензирование textual files, но exact CC variant не зафиксирован. Поэтому положительные mirror/index/embedding теги не должны исполняться автоматически до разрешения gap A30-G001.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FBEAE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A84747"/>
              <w:left w:val="single" w:sz="18" w:color="A84747"/>
              <w:bottom w:val="single" w:sz="8" w:color="A84747"/>
              <w:right w:val="single" w:sz="8" w:color="A84747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A84747"/>
                <w:sz w:val="18"/>
              </w:rPr>
              <w:t>Некоммерческий характер ToS не снимает ограничения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NETS допускает бесплатное скачивание для личной научной работы, но не публичное распространение. IAA и Israel Museum не дают blanket noncommercial mirror grant. Codex Sinaiticus разрешает ограниченное personal/educational use, но не свободное повторное размещение изображений. То есть «мы не продаём» не превращает link-only в mirror-ok.</w:t>
            </w:r>
          </w:p>
        </w:tc>
      </w:tr>
    </w:tbl>
    <w:p>
      <w:pPr>
        <w:widowControl/>
        <w:spacing w:after="20"/>
      </w:pPr>
    </w:p>
    <w:p>
      <w:pPr>
        <w:pStyle w:val="Heading2"/>
        <w:pageBreakBefore/>
        <w:widowControl/>
      </w:pPr>
      <w:r>
        <w:t>4.3. Что остаётся link-only, borrow, preview или purchase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268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Группа</w:t>
            </w:r>
          </w:p>
        </w:tc>
        <w:tc>
          <w:tcPr>
            <w:tcW w:type="dxa" w:w="3402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Примеры</w:t>
            </w:r>
          </w:p>
        </w:tc>
        <w:tc>
          <w:tcPr>
            <w:tcW w:type="dxa" w:w="4139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Практическая рекомендация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Free read/download, но без reuse grant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NETS; CATSS; многие Sefaria versions; CCEL digital transcription.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LINK_OK, FREE_READ/FREE_DOWNLOAD, LOCAL_RESEARCH_COPY; не зеркалировать без дополнительного основания.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Официальные изображения с ограничениями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IAA Qumran; Israel Museum; Vatican Library; Codex Sinaiticus.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Показывать внешнюю ссылку; локальная исследовательская работа допустима в пределах terms; публикация изображения — permission.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Protected modern scholarship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Loeb; PACS/Brill; DJD XXXIV; Holladay; Rahlfs-Hanhart; De Gruyter Wright.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Institutional access, library, preview или purchase; no full-text indexing/mirroring.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Metadata-only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British Library Codex Alexandrinus; некоторые series/catalogue pages.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Сохранять shelfmark/ISBN/DOI и внешний каталог; не выдавать metadata за доступ к самому тексту.</w:t>
            </w:r>
          </w:p>
        </w:tc>
      </w:tr>
    </w:tbl>
    <w:p>
      <w:pPr>
        <w:pStyle w:val="Heading2"/>
        <w:widowControl/>
      </w:pPr>
      <w:r>
        <w:t>4.4. Собственный перевод ToS</w:t>
      </w:r>
    </w:p>
    <w:p>
      <w:pPr>
        <w:widowControl/>
      </w:pPr>
      <w:r>
        <w:rPr>
          <w:rFonts w:ascii="Noto Sans" w:hAnsi="Noto Sans" w:eastAsia="Noto Sans"/>
          <w:b/>
          <w:color w:val="123B4A"/>
          <w:sz w:val="18"/>
        </w:rPr>
        <w:t>Тег OWN_TRANSLATION_POSSIBLE стоит в 73 записях, но это действия над конкретными слоями, а не обещание полного перевода 73 произведений.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438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Основа</w:t>
            </w:r>
          </w:p>
        </w:tc>
        <w:tc>
          <w:tcPr>
            <w:tcW w:type="dxa" w:w="3572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3798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Допустимый масштаб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OpenGreekAndLatin Greek TEI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Самая чистая основа для Philo и Eusebius; CC BY-SA 4.0.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Точный текст конкретного work-level XML; attribution + ShareAlike.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OCP XML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Перспективная открытая основа; exact CC variant не закрыт.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Только реально присутствующие fragments/works; до mirror — rights review.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Brenton/Swete historical Greek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Public-domain-era historical layer.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Только книги и чтения данного издания; обязательна современная textual collation.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Visible ancient manuscript witness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Древний текст свободен, фотография защищена.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Только legible preserved fragment/folio; без копирования музейного image layer.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NETS, Loeb, DJD, modern Russian translations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Защищённая версия или intermediary.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Использовать для сверки/цитирования, но не как самостоятельную открытую производную основу.</w:t>
            </w:r>
          </w:p>
        </w:tc>
      </w:tr>
    </w:tbl>
    <w:p>
      <w:pPr>
        <w:pStyle w:val="Heading2"/>
        <w:widowControl/>
      </w:pPr>
      <w:r>
        <w:t>4.5. Уверенность правовых выводов</w:t>
      </w:r>
    </w:p>
    <w:p>
      <w:pPr>
        <w:widowControl/>
      </w:pPr>
      <w:r>
        <w:rPr>
          <w:rFonts w:ascii="Noto Sans" w:hAnsi="Noto Sans" w:eastAsia="Noto Sans"/>
          <w:color w:val="172A31"/>
          <w:sz w:val="18"/>
        </w:rPr>
        <w:t>High: 56 записей; medium: 95; low: 1. Большая доля medium связана не с сомнением в существовании текста, а с тем, что для каждого из 31 Philo XML, каждого OCP file и каждого constructed item URL не был повторно открыт весь file-level rights apparatus. Это сознательная честность, а не потеря доступа.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5. Характерные правовые тонкости</w:t>
      </w:r>
    </w:p>
    <w:p>
      <w:pPr>
        <w:spacing w:before="40" w:after="120"/>
        <w:widowControl/>
        <w:pBdr>
          <w:bottom w:val="single" w:sz="8" w:space="1" w:color="0B6B73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F3F7F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B6B73"/>
              <w:left w:val="single" w:sz="18" w:color="0B6B73"/>
              <w:bottom w:val="single" w:sz="8" w:color="0B6B73"/>
              <w:right w:val="single" w:sz="8" w:color="0B6B73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0B6B73"/>
                <w:sz w:val="18"/>
              </w:rPr>
              <w:t>Древний оригинал ≠ современный перевод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Wisdom, 4 Maccabees, Aristeas и Philo как древние произведения свободны, но NETS, Loeb, Wright, DJD, PACS и современные русские переводы защищены.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F3F7F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B6B73"/>
              <w:left w:val="single" w:sz="18" w:color="0B6B73"/>
              <w:bottom w:val="single" w:sz="8" w:color="0B6B73"/>
              <w:right w:val="single" w:sz="8" w:color="0B6B73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0B6B73"/>
                <w:sz w:val="18"/>
              </w:rPr>
              <w:t>Лицензия TEI ≠ лицензия всего портала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CC BY-SA 4.0 для точного OGL XML не переносится на Scaife interface, иные editions, third-party images или protected translations.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F3F7F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B6B73"/>
              <w:left w:val="single" w:sz="18" w:color="0B6B73"/>
              <w:bottom w:val="single" w:sz="8" w:color="0B6B73"/>
              <w:right w:val="single" w:sz="8" w:color="0B6B73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0B6B73"/>
                <w:sz w:val="18"/>
              </w:rPr>
              <w:t>OCP открыт, но scope ещё нужно замкнуть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Open-access statement силён, однако exact Creative Commons variant и component-level border должны быть подтверждены до автоматического mirror.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F3F7F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B6B73"/>
              <w:left w:val="single" w:sz="18" w:color="0B6B73"/>
              <w:bottom w:val="single" w:sz="8" w:color="0B6B73"/>
              <w:right w:val="single" w:sz="8" w:color="0B6B73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0B6B73"/>
                <w:sz w:val="18"/>
              </w:rPr>
              <w:t>Download ≠ redistribution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NETS, CATSS, Vatican images и многие Sefaria exports можно скачать, но это не доказательство права публично раздавать файл.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F3F7F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B6B73"/>
              <w:left w:val="single" w:sz="18" w:color="0B6B73"/>
              <w:bottom w:val="single" w:sz="8" w:color="0B6B73"/>
              <w:right w:val="single" w:sz="8" w:color="0B6B73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0B6B73"/>
                <w:sz w:val="18"/>
              </w:rPr>
              <w:t>Древний манускрипт ≠ свободная фотография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IAA, Israel Museum, Vatican Library и Codex Sinaiticus сохраняют права на digital photography, metadata, transcription и interface.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F3F7F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B6B73"/>
              <w:left w:val="single" w:sz="18" w:color="0B6B73"/>
              <w:bottom w:val="single" w:sz="8" w:color="0B6B73"/>
              <w:right w:val="single" w:sz="8" w:color="0B6B73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0B6B73"/>
                <w:sz w:val="18"/>
              </w:rPr>
              <w:t>Один сайт — смешанные права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Sefaria лицензирует версии по отдельности; Wikisource сочетает public-domain source и CC BY-SA contribution layer; Internet Archive item status не универсален.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F3F7F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B6B73"/>
              <w:left w:val="single" w:sz="18" w:color="0B6B73"/>
              <w:bottom w:val="single" w:sz="8" w:color="0B6B73"/>
              <w:right w:val="single" w:sz="8" w:color="0B6B73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0B6B73"/>
                <w:sz w:val="18"/>
              </w:rPr>
              <w:t>Public Domain Mark — не лицензия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Он сообщает о статусе конкретного объекта; юрисдикция, provenance скана и современный digital layer всё равно требуют проверки.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F3F7F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B6B73"/>
              <w:left w:val="single" w:sz="18" w:color="0B6B73"/>
              <w:bottom w:val="single" w:sz="8" w:color="0B6B73"/>
              <w:right w:val="single" w:sz="8" w:color="0B6B73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0B6B73"/>
                <w:sz w:val="18"/>
              </w:rPr>
              <w:t>Поздний передатчик ≠ автор утраченного оригинала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Aristobulus fragments у Eusebius/Clement должны оставаться явно опосредованными; открытая лицензия передающего Greek TEI не превращает реконструкцию утраченного текста в бесспорную.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6. Пробелы и дальнейший поиск</w:t>
      </w:r>
    </w:p>
    <w:p>
      <w:pPr>
        <w:spacing w:before="40" w:after="120"/>
        <w:widowControl/>
        <w:pBdr>
          <w:bottom w:val="single" w:sz="8" w:space="1" w:color="0B6B73"/>
        </w:pBdr>
      </w:pPr>
    </w:p>
    <w:p>
      <w:pPr>
        <w:pStyle w:val="Lead"/>
        <w:widowControl/>
      </w:pPr>
      <w:r>
        <w:rPr>
          <w:rFonts w:ascii="Noto Serif" w:hAnsi="Noto Serif" w:eastAsia="Noto Serif"/>
          <w:color w:val="172A31"/>
          <w:sz w:val="21"/>
        </w:rPr>
        <w:t>Лист gaps содержит 20 адресных задач. Ниже они сведены в восемь рабочих направлений; это не аварийный список общих порталов, а продолжение уже завершённого ядра.</w:t>
      </w:r>
    </w:p>
    <w:p>
      <w:pPr>
        <w:widowControl/>
        <w:spacing w:after="80"/>
      </w:pPr>
      <w:r>
        <w:rPr>
          <w:rFonts w:ascii="Noto Sans" w:hAnsi="Noto Sans" w:eastAsia="Noto Sans"/>
          <w:b/>
          <w:color w:val="123B4A"/>
          <w:sz w:val="18"/>
        </w:rPr>
        <w:t xml:space="preserve">1. Открытый 4QInstruction. </w:t>
      </w:r>
      <w:r>
        <w:rPr>
          <w:rFonts w:ascii="Noto Sans" w:hAnsi="Noto Sans" w:eastAsia="Noto Sans"/>
          <w:color w:val="172A31"/>
          <w:sz w:val="18"/>
        </w:rPr>
        <w:t>A30-G003–G006: найти witness-separated composite Hebrew text, reusable facsimiles/IIIF, SQE export/API и Qumran-Digital textual release с component-level licence.</w:t>
      </w:r>
    </w:p>
    <w:p>
      <w:pPr>
        <w:widowControl/>
        <w:spacing w:after="80"/>
      </w:pPr>
      <w:r>
        <w:rPr>
          <w:rFonts w:ascii="Noto Sans" w:hAnsi="Noto Sans" w:eastAsia="Noto Sans"/>
          <w:b/>
          <w:color w:val="123B4A"/>
          <w:sz w:val="18"/>
        </w:rPr>
        <w:t xml:space="preserve">2. Современный критический LXX layer. </w:t>
      </w:r>
      <w:r>
        <w:rPr>
          <w:rFonts w:ascii="Noto Sans" w:hAnsi="Noto Sans" w:eastAsia="Noto Sans"/>
          <w:color w:val="172A31"/>
          <w:sz w:val="18"/>
        </w:rPr>
        <w:t>A30-G007–G009: нормализовать Göttingen Wisdom и 4 Maccabees item pages и найти современный Greek LXX dataset с ясной open licence.</w:t>
      </w:r>
    </w:p>
    <w:p>
      <w:pPr>
        <w:widowControl/>
        <w:spacing w:after="80"/>
      </w:pPr>
      <w:r>
        <w:rPr>
          <w:rFonts w:ascii="Noto Sans" w:hAnsi="Noto Sans" w:eastAsia="Noto Sans"/>
          <w:b/>
          <w:color w:val="123B4A"/>
          <w:sz w:val="18"/>
        </w:rPr>
        <w:t xml:space="preserve">3. Армянский корпус Филона. </w:t>
      </w:r>
      <w:r>
        <w:rPr>
          <w:rFonts w:ascii="Noto Sans" w:hAnsi="Noto Sans" w:eastAsia="Noto Sans"/>
          <w:color w:val="172A31"/>
          <w:sz w:val="18"/>
        </w:rPr>
        <w:t>A30-G010–G011: item-level Matenadaran/HMML/library records и texts для Questions and Answers, De Providentia, De animalibus и иных Armenian-only survivals.</w:t>
      </w:r>
    </w:p>
    <w:p>
      <w:pPr>
        <w:widowControl/>
        <w:spacing w:after="80"/>
      </w:pPr>
      <w:r>
        <w:rPr>
          <w:rFonts w:ascii="Noto Sans" w:hAnsi="Noto Sans" w:eastAsia="Noto Sans"/>
          <w:b/>
          <w:color w:val="123B4A"/>
          <w:sz w:val="18"/>
        </w:rPr>
        <w:t xml:space="preserve">4. Русский доступ. </w:t>
      </w:r>
      <w:r>
        <w:rPr>
          <w:rFonts w:ascii="Noto Sans" w:hAnsi="Noto Sans" w:eastAsia="Noto Sans"/>
          <w:color w:val="172A31"/>
          <w:sz w:val="18"/>
        </w:rPr>
        <w:t>A30-G012–G013: собрать lawful Russian Philo corpus и получить component-specific terms для современного DHonorare Aristeas translation/commentary.</w:t>
      </w:r>
    </w:p>
    <w:p>
      <w:pPr>
        <w:widowControl/>
        <w:spacing w:after="80"/>
      </w:pPr>
      <w:r>
        <w:rPr>
          <w:rFonts w:ascii="Noto Sans" w:hAnsi="Noto Sans" w:eastAsia="Noto Sans"/>
          <w:b/>
          <w:color w:val="123B4A"/>
          <w:sz w:val="18"/>
        </w:rPr>
        <w:t xml:space="preserve">5. 4 Maccabees modern scholarship. </w:t>
      </w:r>
      <w:r>
        <w:rPr>
          <w:rFonts w:ascii="Noto Sans" w:hAnsi="Noto Sans" w:eastAsia="Noto Sans"/>
          <w:color w:val="172A31"/>
          <w:sz w:val="18"/>
        </w:rPr>
        <w:t>A30-G014: найти лучший dedicated commentary и current critical Greek edition с stable DOI/ISBN/OCLC.</w:t>
      </w:r>
    </w:p>
    <w:p>
      <w:pPr>
        <w:widowControl/>
        <w:spacing w:after="80"/>
      </w:pPr>
      <w:r>
        <w:rPr>
          <w:rFonts w:ascii="Noto Sans" w:hAnsi="Noto Sans" w:eastAsia="Noto Sans"/>
          <w:b/>
          <w:color w:val="123B4A"/>
          <w:sz w:val="18"/>
        </w:rPr>
        <w:t xml:space="preserve">6. Pesharim и Qumran witness mapping. </w:t>
      </w:r>
      <w:r>
        <w:rPr>
          <w:rFonts w:ascii="Noto Sans" w:hAnsi="Noto Sans" w:eastAsia="Noto Sans"/>
          <w:color w:val="172A31"/>
          <w:sz w:val="18"/>
        </w:rPr>
        <w:t>A30-G015 и G020: расширить beyond 1QpHab, а для 4Q418 собрать полный fragment/plate crosswalk.</w:t>
      </w:r>
    </w:p>
    <w:p>
      <w:pPr>
        <w:widowControl/>
        <w:spacing w:after="80"/>
      </w:pPr>
      <w:r>
        <w:rPr>
          <w:rFonts w:ascii="Noto Sans" w:hAnsi="Noto Sans" w:eastAsia="Noto Sans"/>
          <w:b/>
          <w:color w:val="123B4A"/>
          <w:sz w:val="18"/>
        </w:rPr>
        <w:t xml:space="preserve">7. Aristobulus passage map. </w:t>
      </w:r>
      <w:r>
        <w:rPr>
          <w:rFonts w:ascii="Noto Sans" w:hAnsi="Noto Sans" w:eastAsia="Noto Sans"/>
          <w:color w:val="172A31"/>
          <w:sz w:val="18"/>
        </w:rPr>
        <w:t>A30-G016: связать OCP fragment numbers с точными loci в Eusebius и Clement и CTS citations.</w:t>
      </w:r>
    </w:p>
    <w:p>
      <w:pPr>
        <w:widowControl/>
        <w:spacing w:after="80"/>
      </w:pPr>
      <w:r>
        <w:rPr>
          <w:rFonts w:ascii="Noto Sans" w:hAnsi="Noto Sans" w:eastAsia="Noto Sans"/>
          <w:b/>
          <w:color w:val="123B4A"/>
          <w:sz w:val="18"/>
        </w:rPr>
        <w:t xml:space="preserve">8. Codices и version rights. </w:t>
      </w:r>
      <w:r>
        <w:rPr>
          <w:rFonts w:ascii="Noto Sans" w:hAnsi="Noto Sans" w:eastAsia="Noto Sans"/>
          <w:color w:val="172A31"/>
          <w:sz w:val="18"/>
        </w:rPr>
        <w:t>A30-G017–G019: открыть official Alexandrinus OT images, сделать folio-level links для Wisdom/4 Macc и зафиксировать exact Sefaria version licences.</w:t>
      </w:r>
    </w:p>
    <w:p>
      <w:pPr>
        <w:pStyle w:val="Heading2"/>
        <w:widowControl/>
      </w:pPr>
      <w:r>
        <w:t>6.1. Доступ ограничен библиотекой, подпиской или покупкой</w:t>
      </w:r>
    </w:p>
    <w:p>
      <w:pPr>
        <w:widowControl/>
      </w:pPr>
      <w:r>
        <w:rPr>
          <w:rFonts w:ascii="Noto Sans" w:hAnsi="Noto Sans" w:eastAsia="Noto Sans"/>
          <w:color w:val="172A31"/>
          <w:sz w:val="18"/>
        </w:rPr>
        <w:t>Rahlfs-Hanhart, Loeb Philo, PACS/Brill, DJD XXXIV, Holladay FJHA, De Gruyter Wright, 4QInstruction monographs и русский Philo/On Joseph остаются законными, но не открытыми полнотекстовыми путями. Они сохранены в registry как purchase, institutional_access, library_borrow, preview_or_snippet или metadata_only.</w:t>
      </w:r>
    </w:p>
    <w:p>
      <w:pPr>
        <w:pStyle w:val="Heading2"/>
        <w:widowControl/>
      </w:pPr>
      <w:r>
        <w:t>6.2. Ссылки, которые не удалось полноценно открыть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891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3685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Статус на 03.09.2026</w:t>
            </w:r>
          </w:p>
        </w:tc>
        <w:tc>
          <w:tcPr>
            <w:tcW w:type="dxa" w:w="3231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Как отражено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Israel Museum Digital Dead Sea Scrolls: project / 1QS / 1QpHab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Automated fetch returned 502; официальные URL и ранее проверенные terms сохранены.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verification_status = temporarily unavailable / 502; confidence medium.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Internet Archive Thackeray Aristeas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Item route resolved, but automated fetch timed out.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No direct download asserted; confidence low; retained as lawful historical route.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British Library Codex Alexandrinus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Catalogue works; complete official digital images unavailable.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metadata_only + gap A30-G017.</w:t>
            </w:r>
          </w:p>
        </w:tc>
      </w:tr>
    </w:tbl>
    <w:p>
      <w:pPr>
        <w:pStyle w:val="Heading2"/>
        <w:widowControl/>
      </w:pPr>
      <w:r>
        <w:t>6.3. Неясные права</w:t>
      </w:r>
    </w:p>
    <w:p>
      <w:pPr>
        <w:widowControl/>
      </w:pPr>
      <w:r>
        <w:rPr>
          <w:rFonts w:ascii="Noto Sans" w:hAnsi="Noto Sans" w:eastAsia="Noto Sans"/>
          <w:color w:val="172A31"/>
          <w:sz w:val="18"/>
        </w:rPr>
        <w:t>Главные rights uncertainties сосредоточены не в древних works, а в modern digital layers: exact OCP CC variant, CATSS licence, SQE/Qumran-Digital exports, Sefaria selected versions, CUDL item-level image labels и historical scans across jurisdictions.</w:t>
      </w:r>
    </w:p>
    <w:p>
      <w:pPr>
        <w:pStyle w:val="Heading2"/>
        <w:widowControl/>
      </w:pPr>
      <w:r>
        <w:t>6.4. Unverified candidates из слабых источников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FBF3D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D9A441"/>
              <w:left w:val="single" w:sz="18" w:color="D9A441"/>
              <w:bottom w:val="single" w:sz="8" w:color="D9A441"/>
              <w:right w:val="single" w:sz="8" w:color="D9A44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D9A441"/>
                <w:sz w:val="18"/>
              </w:rPr>
              <w:t>Результат проверки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Кандидатов, оставшихся только на основании Wikipedia, блога, агрегатора, AI summary или поискового сниппета, нет. Лист gaps содержит подтверждённые произведения, проекты и свидетели, для которых не завершён доступ, rights evidence, item mapping или coverage.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7. Итоговая оценка</w:t>
      </w:r>
    </w:p>
    <w:p>
      <w:pPr>
        <w:spacing w:before="40" w:after="120"/>
        <w:widowControl/>
        <w:pBdr>
          <w:bottom w:val="single" w:sz="8" w:space="1" w:color="0B6B73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Покрытие корпуса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Высокое для Septuagint/Aristeas/Philo и основных transmission channels; средне-высокое для Wisdom и 4 Maccabees; умеренное для полного Qumran wisdom corpus из-за fragmentarity и rights-limited images.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Доступность оригиналов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Очень хорошая для 31 Greek Philo works и ряда Greek transmission texts; хорошая, но historical-edition dependent для LXX; witness-level для Qumran; неполная для Armenian Philo.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Доступность переводов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Сильная по-английски; рабочая, но неравномерная по-русски. Современные лучшие переводы часто защищены, исторические свободнее, но научно требуют сверки.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Наиболее свободный слой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OpenGreekAndLatin Greek TEI; historical Brenton/Swete; page-specific Wikisource; OCP XML после закрытия exact-licence gap.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Главные ограничения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IAA/Israel Museum/Vatican/Codex image rights; NETS and publisher restrictions; version-specific Sefaria; CATSS/OCP/SQE licence granularity; lack of full open composite 4QInstruction.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EAF3F5"/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123B4A"/>
                <w:sz w:val="16"/>
              </w:rPr>
              <w:t>Готовность к Codex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9D7DC"/>
              <w:left w:val="single" w:sz="4" w:color="C9D7DC"/>
              <w:bottom w:val="single" w:sz="4" w:color="C9D7DC"/>
              <w:right w:val="single" w:sz="4" w:color="C9D7DC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6"/>
              </w:rPr>
              <w:t>Да. XLSX имеет 32 обязательных поля, stable identifiers, item-level access distinctions, rights scope, coverage, own-translation basis и 20 targeted gaps.</w:t>
            </w:r>
          </w:p>
        </w:tc>
      </w:tr>
    </w:tbl>
    <w:p>
      <w:pPr>
        <w:pStyle w:val="Heading2"/>
        <w:widowControl/>
      </w:pPr>
      <w:r>
        <w:t>7.1. Итог по основным корпусам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268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Корпус</w:t>
            </w:r>
          </w:p>
        </w:tc>
        <w:tc>
          <w:tcPr>
            <w:tcW w:type="dxa" w:w="2438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Оценка покрытия</w:t>
            </w:r>
          </w:p>
        </w:tc>
        <w:tc>
          <w:tcPr>
            <w:tcW w:type="dxa" w:w="5102"/>
            <w:shd w:fill="123B4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78929B"/>
              <w:left w:val="single" w:sz="4" w:color="78929B"/>
              <w:bottom w:val="single" w:sz="4" w:color="78929B"/>
              <w:right w:val="single" w:sz="4" w:color="78929B"/>
            </w:tcBorders>
          </w:tcPr>
          <w:p>
            <w:pPr>
              <w:pStyle w:val="TableText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Ключевой остаточный риск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Septuagint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Высокое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Нет полностью нормализованного современного open Greek critical layer.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Letter of Aristeas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Высокое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Russian modern reuse terms и exact OCP component licence.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Aristobulus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Высокое для сохранившихся fragments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Нужен precise OCP — Eusebius — Clement passage crosswalk.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Qumran / 4QInstruction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Умеренно высокое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Нет полного rights-clear composite Hebrew text; images restricted.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Wisdom of Solomon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Высокое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Current critical edition item route ещё в gap.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Philo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Очень высокое для Greek corpus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  <w:shd w:fill="F3F7F8"/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Armenian-only works и полный русский corpus не покрыты.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4 Maccabees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Высокое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1DDE1"/>
              <w:left w:val="single" w:sz="3" w:color="D1DDE1"/>
              <w:bottom w:val="single" w:sz="3" w:color="D1DDE1"/>
              <w:right w:val="single" w:sz="3" w:color="D1DDE1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color w:val="172A31"/>
                <w:sz w:val="15"/>
              </w:rPr>
              <w:t>Dedicated modern commentary/current critical item route not fully normalized.</w:t>
            </w:r>
          </w:p>
        </w:tc>
      </w:tr>
    </w:tbl>
    <w:p>
      <w:pPr>
        <w:pStyle w:val="Heading2"/>
        <w:widowControl/>
      </w:pPr>
      <w:r>
        <w:t>7.2. Финальный вердикт</w:t>
      </w:r>
    </w:p>
    <w:p>
      <w:pPr>
        <w:pStyle w:val="Lead"/>
        <w:widowControl/>
      </w:pPr>
      <w:r>
        <w:rPr>
          <w:rFonts w:ascii="Noto Serif" w:hAnsi="Noto Serif" w:eastAsia="Noto Serif"/>
          <w:color w:val="172A31"/>
          <w:sz w:val="21"/>
        </w:rPr>
        <w:t>Пакет пригоден для передачи Codex как исследовательский слой A30. Он уже позволяет строить карточки произведений, внешние ссылки, локальные исследовательские копии, отдельные машиночитаемые индексы и rights-aware translation workflows. Автоматическое зеркалирование должно исполняться только для строк, где exact rights_scope и evidence позволяют это без расширительного толкования.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808"/>
            <w:shd w:fill="EAF3F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0B6B73"/>
              <w:left w:val="single" w:sz="18" w:color="0B6B73"/>
              <w:bottom w:val="single" w:sz="8" w:color="0B6B73"/>
              <w:right w:val="single" w:sz="8" w:color="0B6B73"/>
            </w:tcBorders>
          </w:tcPr>
          <w:p>
            <w:pPr>
              <w:pStyle w:val="TableText"/>
            </w:pPr>
            <w:r>
              <w:rPr>
                <w:rFonts w:ascii="Noto Sans" w:hAnsi="Noto Sans" w:eastAsia="Noto Sans"/>
                <w:b/>
                <w:color w:val="0B6B73"/>
                <w:sz w:val="18"/>
              </w:rPr>
              <w:t>Сильная сторона пакета</w:t>
              <w:br/>
            </w:r>
            <w:r>
              <w:rPr>
                <w:rFonts w:ascii="Noto Sans" w:hAnsi="Noto Sans" w:eastAsia="Noto Sans"/>
                <w:color w:val="172A31"/>
                <w:sz w:val="16"/>
              </w:rPr>
              <w:t>A30 раскрыт не как «Филон плюс фон», а как связка LXX / Aristeas / Aristobulus / Qumran wisdom and rules / Wisdom of Solomon / Philo / 4 Maccabees, вместе с реальными каналами рукописной, цитатной и цифровой сохранности.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" w:hAnsi="Noto Sans" w:eastAsia="Noto Sans"/>
        <w:color w:val="5B6870"/>
        <w:sz w:val="15"/>
      </w:rPr>
      <w:t>Проверено 03.09.2026  ·  исследовательская карта, не юридическое заключение</w:t>
    </w:r>
  </w:p>
  <w:p>
    <w:pPr>
      <w:jc w:val="right"/>
    </w:pPr>
    <w:r>
      <w:rPr>
        <w:rFonts w:ascii="Noto Sans" w:hAnsi="Noto Sans"/>
        <w:color w:val="5B6870"/>
        <w:sz w:val="16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" w:hAnsi="Noto Sans" w:eastAsia="Noto Sans"/>
        <w:b/>
        <w:color w:val="0B6B73"/>
        <w:sz w:val="15"/>
      </w:rPr>
      <w:t>ToS / Древо Софии  ·  Corpus &amp; Rights Registry  ·  A30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90" w:line="259" w:lineRule="auto"/>
    </w:pPr>
    <w:rPr>
      <w:rFonts w:ascii="Noto Sans" w:hAnsi="Noto Sans" w:eastAsia="Noto Sans"/>
      <w:color w:val="172A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123B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0B6B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123B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" w:hAnsi="Noto Sans" w:eastAsia="Noto Sans"/>
      <w:b/>
      <w:color w:val="123B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" w:hAnsi="Noto Sans" w:eastAsia="Noto Sans"/>
      <w:b w:val="0"/>
      <w:i/>
      <w:iCs/>
      <w:color w:val="0B6B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276" w:lineRule="auto" w:after="140"/>
    </w:pPr>
    <w:rPr>
      <w:rFonts w:ascii="Noto Serif" w:hAnsi="Noto Serif" w:eastAsia="Noto Serif"/>
      <w:color w:val="172A31"/>
      <w:sz w:val="22"/>
    </w:rPr>
  </w:style>
  <w:style w:type="paragraph" w:customStyle="1" w:styleId="SmallNote">
    <w:name w:val="Small Note"/>
    <w:pPr>
      <w:spacing w:after="60"/>
    </w:pPr>
    <w:rPr>
      <w:rFonts w:ascii="Noto Sans" w:hAnsi="Noto Sans" w:eastAsia="Noto Sans"/>
      <w:color w:val="5B6870"/>
      <w:sz w:val="16"/>
    </w:rPr>
  </w:style>
  <w:style w:type="paragraph" w:customStyle="1" w:styleId="TableText">
    <w:name w:val="Table Text"/>
    <w:pPr>
      <w:spacing w:after="0" w:line="240" w:lineRule="auto"/>
    </w:pPr>
    <w:rPr>
      <w:rFonts w:ascii="Noto Sans" w:hAnsi="Noto Sans" w:eastAsia="Noto Sans"/>
      <w:color w:val="172A3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cat.sas.upenn.edu/nets/edition/" TargetMode="External"/><Relationship Id="rId12" Type="http://schemas.openxmlformats.org/officeDocument/2006/relationships/hyperlink" Target="https://archive.org/details/septuagint-with-apocrypha.-greek-and-english-1851" TargetMode="External"/><Relationship Id="rId13" Type="http://schemas.openxmlformats.org/officeDocument/2006/relationships/hyperlink" Target="https://archive.org/details/oldtestamentingr01swet" TargetMode="External"/><Relationship Id="rId14" Type="http://schemas.openxmlformats.org/officeDocument/2006/relationships/hyperlink" Target="https://www.die-bibel.de/en/en/the-septuagint-lxx" TargetMode="External"/><Relationship Id="rId15" Type="http://schemas.openxmlformats.org/officeDocument/2006/relationships/hyperlink" Target="https://ccat.sas.upenn.edu/gopher/text/religion/biblical/" TargetMode="External"/><Relationship Id="rId16" Type="http://schemas.openxmlformats.org/officeDocument/2006/relationships/hyperlink" Target="https://www.codexsinaiticus.org/en/manuscript.aspx" TargetMode="External"/><Relationship Id="rId17" Type="http://schemas.openxmlformats.org/officeDocument/2006/relationships/hyperlink" Target="https://dhonorare.ru/texts/aristeas/aristeas-1" TargetMode="External"/><Relationship Id="rId18" Type="http://schemas.openxmlformats.org/officeDocument/2006/relationships/hyperlink" Target="https://github.com/OnlineCriticalPseudepigrapha/Online-Critical-Pseudepigrapha/blob/master/static/docs/LetAris.xml" TargetMode="External"/><Relationship Id="rId19" Type="http://schemas.openxmlformats.org/officeDocument/2006/relationships/hyperlink" Target="https://www.ccel.org/c/charles/otpseudepig/aristeas.htm" TargetMode="External"/><Relationship Id="rId20" Type="http://schemas.openxmlformats.org/officeDocument/2006/relationships/hyperlink" Target="https://archive.org/details/theletterofarist00unknuoft" TargetMode="External"/><Relationship Id="rId21" Type="http://schemas.openxmlformats.org/officeDocument/2006/relationships/hyperlink" Target="https://www.degruyter.com/document/doi/10.1515/9783110431346/html" TargetMode="External"/><Relationship Id="rId22" Type="http://schemas.openxmlformats.org/officeDocument/2006/relationships/hyperlink" Target="https://github.com/OnlineCriticalPseudepigrapha/Online-Critical-Pseudepigrapha/blob/master/static/docs/Aristob.xml" TargetMode="External"/><Relationship Id="rId23" Type="http://schemas.openxmlformats.org/officeDocument/2006/relationships/hyperlink" Target="https://scaife.perseus.org/library/urn:cts:greekLit:tlg2018.tlg001.1st1K-grc1/" TargetMode="External"/><Relationship Id="rId24" Type="http://schemas.openxmlformats.org/officeDocument/2006/relationships/hyperlink" Target="https://scaife.perseus.org/library/urn%3Acts%3AgreekLit%3Atlg0555.tlg004/" TargetMode="External"/><Relationship Id="rId25" Type="http://schemas.openxmlformats.org/officeDocument/2006/relationships/hyperlink" Target="https://cart.sbl-site.org/books/060239P" TargetMode="External"/><Relationship Id="rId26" Type="http://schemas.openxmlformats.org/officeDocument/2006/relationships/hyperlink" Target="https://www.deadseascrolls.org.il/" TargetMode="External"/><Relationship Id="rId27" Type="http://schemas.openxmlformats.org/officeDocument/2006/relationships/hyperlink" Target="https://www.deadseascrolls.org.il/explore-the-archive/manuscript/4Q415-1" TargetMode="External"/><Relationship Id="rId28" Type="http://schemas.openxmlformats.org/officeDocument/2006/relationships/hyperlink" Target="https://dss.collections.imj.org.il/community" TargetMode="External"/><Relationship Id="rId29" Type="http://schemas.openxmlformats.org/officeDocument/2006/relationships/hyperlink" Target="https://dss.collections.imj.org.il/habakkuk" TargetMode="External"/><Relationship Id="rId30" Type="http://schemas.openxmlformats.org/officeDocument/2006/relationships/hyperlink" Target="https://global.oup.com/academic/content/series/d/discoveries-in-the-judaean-desert-djd/" TargetMode="External"/><Relationship Id="rId31" Type="http://schemas.openxmlformats.org/officeDocument/2006/relationships/hyperlink" Target="https://sqe.deadseascrolls.org.il/" TargetMode="External"/><Relationship Id="rId32" Type="http://schemas.openxmlformats.org/officeDocument/2006/relationships/hyperlink" Target="https://www.qumran-digital.org/" TargetMode="External"/><Relationship Id="rId33" Type="http://schemas.openxmlformats.org/officeDocument/2006/relationships/hyperlink" Target="https://ccat.sas.upenn.edu/nets/edition/29-wissal-nets.pdf" TargetMode="External"/><Relationship Id="rId34" Type="http://schemas.openxmlformats.org/officeDocument/2006/relationships/hyperlink" Target="https://www.sefaria.org/The_Wisdom_of_Solomon" TargetMode="External"/><Relationship Id="rId35" Type="http://schemas.openxmlformats.org/officeDocument/2006/relationships/hyperlink" Target="https://ru.wikisource.org/wiki/%D0%9A%D0%BD%D0%B8%D0%B3%D0%B0_%D0%9F%D1%80%D0%B5%D0%BC%D1%83%D0%B4%D1%80%D0%BE%D1%81%D1%82%D0%B8_%D0%A1%D0%BE%D0%BB%D0%BE%D0%BC%D0%BE%D0%BD%D0%B0" TargetMode="External"/><Relationship Id="rId36" Type="http://schemas.openxmlformats.org/officeDocument/2006/relationships/hyperlink" Target="https://ccat.sas.upenn.edu/gopher/text/religion/biblical/lxxmorph/35.Wisdom.mlxx" TargetMode="External"/><Relationship Id="rId37" Type="http://schemas.openxmlformats.org/officeDocument/2006/relationships/hyperlink" Target="https://digi.vatlib.it/view/MSS_Vat.gr.1209" TargetMode="External"/><Relationship Id="rId38" Type="http://schemas.openxmlformats.org/officeDocument/2006/relationships/hyperlink" Target="https://scaife.perseus.org/library/urn%3Acts%3AgreekLit%3Atlg0018/" TargetMode="External"/><Relationship Id="rId39" Type="http://schemas.openxmlformats.org/officeDocument/2006/relationships/hyperlink" Target="https://github.com/OpenGreekAndLatin/First1KGreek" TargetMode="External"/><Relationship Id="rId40" Type="http://schemas.openxmlformats.org/officeDocument/2006/relationships/hyperlink" Target="https://ccel.org/ccel/philo/works/works.i.html" TargetMode="External"/><Relationship Id="rId41" Type="http://schemas.openxmlformats.org/officeDocument/2006/relationships/hyperlink" Target="https://catalog.hathitrust.org/Record/001381155" TargetMode="External"/><Relationship Id="rId42" Type="http://schemas.openxmlformats.org/officeDocument/2006/relationships/hyperlink" Target="https://www.loebclassics.com/volumes" TargetMode="External"/><Relationship Id="rId43" Type="http://schemas.openxmlformats.org/officeDocument/2006/relationships/hyperlink" Target="https://brill.com/display/serial/PACS" TargetMode="External"/><Relationship Id="rId44" Type="http://schemas.openxmlformats.org/officeDocument/2006/relationships/hyperlink" Target="https://sretenie.com/avtor/?avt_id=10468" TargetMode="External"/><Relationship Id="rId45" Type="http://schemas.openxmlformats.org/officeDocument/2006/relationships/hyperlink" Target="https://github.com/OnlineCriticalPseudepigrapha/Online-Critical-Pseudepigrapha/blob/master/static/docs/4Macc.xml" TargetMode="External"/><Relationship Id="rId46" Type="http://schemas.openxmlformats.org/officeDocument/2006/relationships/hyperlink" Target="https://ccat.sas.upenn.edu/nets/edition/23-4makk-nets.pdf" TargetMode="External"/><Relationship Id="rId47" Type="http://schemas.openxmlformats.org/officeDocument/2006/relationships/hyperlink" Target="https://ru.wikisource.org/wiki/%D0%A7%D0%B5%D1%82%D0%B2%D1%91%D1%80%D1%82%D0%B0%D1%8F_%D0%BA%D0%BD%D0%B8%D0%B3%D0%B0_%D0%9C%D0%B0%D0%BA%D0%BA%D0%B0%D0%B2%D0%B5%D0%B9%D1%81%D0%BA%D0%B0%D1%8F" TargetMode="External"/><Relationship Id="rId48" Type="http://schemas.openxmlformats.org/officeDocument/2006/relationships/hyperlink" Target="https://archive.org/details/oldtestamenting03swet" TargetMode="External"/><Relationship Id="rId49" Type="http://schemas.openxmlformats.org/officeDocument/2006/relationships/hyperlink" Target="https://ccat.sas.upenn.edu/gopher/text/religion/biblical/lxxmorph/27.4Macc.ml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A30</dc:title>
  <dc:subject>Corpus, lawful access routes, rights and practical use for Tree of Sophia</dc:subject>
  <dc:creator>OpenAI / ToS research workflow</dc:creator>
  <cp:keywords>ToS, A30, Philo, Septuagint, Qumran, Wisdom of Solomon, 4 Maccabees, rights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