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  <w:jc w:val="center"/>
      </w:pPr>
      <w:r>
        <w:rPr>
          <w:rFonts w:ascii="Liberation Sans" w:hAnsi="Liberation Sans" w:eastAsia="Liberation Sans"/>
          <w:b/>
          <w:color w:val="17365D"/>
          <w:sz w:val="50"/>
        </w:rPr>
        <w:t>ToS Corpus &amp; Rights Registry</w:t>
      </w:r>
    </w:p>
    <w:p>
      <w:pPr>
        <w:jc w:val="center"/>
      </w:pPr>
      <w:r>
        <w:rPr>
          <w:rFonts w:ascii="Liberation Sans" w:hAnsi="Liberation Sans" w:eastAsia="Liberation Sans"/>
          <w:b/>
          <w:color w:val="2F5597"/>
          <w:sz w:val="44"/>
        </w:rPr>
        <w:t>A46 — Ранние майя</w:t>
      </w:r>
    </w:p>
    <w:p>
      <w:pPr>
        <w:spacing w:after="400"/>
        <w:jc w:val="center"/>
      </w:pPr>
      <w:r>
        <w:rPr>
          <w:rFonts w:ascii="Liberation Sans" w:hAnsi="Liberation Sans" w:eastAsia="Liberation Sans"/>
          <w:i/>
          <w:color w:val="5B6573"/>
          <w:sz w:val="24"/>
        </w:rPr>
        <w:t>Исследовательский пакет по корпусам, доступу и правам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948"/>
            <w:shd w:fill="17365D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40"/>
              </w:rPr>
              <w:t>105</w:t>
            </w:r>
          </w:p>
        </w:tc>
        <w:tc>
          <w:tcPr>
            <w:tcW w:type="dxa" w:w="2948"/>
            <w:shd w:fill="17365D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40"/>
              </w:rPr>
              <w:t>100</w:t>
            </w:r>
          </w:p>
        </w:tc>
        <w:tc>
          <w:tcPr>
            <w:tcW w:type="dxa" w:w="2948"/>
            <w:shd w:fill="17365D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40"/>
              </w:rPr>
              <w:t>13</w:t>
            </w:r>
          </w:p>
        </w:tc>
      </w:tr>
      <w:tr>
        <w:tc>
          <w:tcPr>
            <w:tcW w:type="dxa" w:w="2948"/>
            <w:shd w:fill="EAF2F8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маршрутов доступа</w:t>
            </w:r>
          </w:p>
        </w:tc>
        <w:tc>
          <w:tcPr>
            <w:tcW w:type="dxa" w:w="2948"/>
            <w:shd w:fill="EAF2F8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различимых заголовков/объектов</w:t>
            </w:r>
          </w:p>
        </w:tc>
        <w:tc>
          <w:tcPr>
            <w:tcW w:type="dxa" w:w="2948"/>
            <w:shd w:fill="EAF2F8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зафиксированных пробелов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7E6"/>
            <w:tcBorders>
              <w:top w:val="single" w:sz="8" w:color="C28E2C"/>
              <w:left w:val="single" w:sz="8" w:color="C28E2C"/>
              <w:bottom w:val="single" w:sz="8" w:color="C28E2C"/>
              <w:right w:val="single" w:sz="8" w:color="C28E2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17365D"/>
                <w:sz w:val="21"/>
              </w:rPr>
              <w:t>Ключевая хронологическая корректировка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63238"/>
                <w:sz w:val="20"/>
              </w:rPr>
              <w:t>Открытая статья 2026 года датирует El Palmar Stela 46 180 годом н. э. В исходном DR фигурировала предварительная дата 162 год. В реестре сохранён ID A46 и статус B, но для самого памятника используется дата 180 н. э.</w:t>
            </w:r>
          </w:p>
        </w:tc>
      </w:tr>
    </w:tbl>
    <w:p>
      <w:pPr>
        <w:spacing w:after="0"/>
      </w:pPr>
    </w:p>
    <w:p>
      <w:pPr>
        <w:spacing w:before="240"/>
        <w:jc w:val="center"/>
      </w:pPr>
      <w:r>
        <w:rPr>
          <w:rFonts w:ascii="Liberation Sans" w:hAnsi="Liberation Sans" w:eastAsia="Liberation Sans"/>
          <w:color w:val="5B6573"/>
          <w:sz w:val="19"/>
        </w:rPr>
        <w:t>Проверено: 4 сентября 2026 · два файла: DOCX + XLSX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Liberation Sans" w:hAnsi="Liberation Sans" w:eastAsia="Liberation Sans"/>
          <w:b/>
          <w:color w:val="17365D"/>
          <w:sz w:val="32"/>
        </w:rP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17365D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5156"/>
            <w:shd w:fill="17365D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268"/>
            <w:shd w:fill="EAF2F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8"/>
              </w:rPr>
              <w:t>ID строки</w:t>
            </w:r>
          </w:p>
        </w:tc>
        <w:tc>
          <w:tcPr>
            <w:tcW w:type="dxa" w:w="69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8"/>
              </w:rPr>
              <w:t>A46</w:t>
            </w:r>
          </w:p>
        </w:tc>
      </w:tr>
      <w:tr>
        <w:tc>
          <w:tcPr>
            <w:tcW w:type="dxa" w:w="2268"/>
            <w:shd w:fill="EAF2F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8"/>
              </w:rPr>
              <w:t>Название</w:t>
            </w:r>
          </w:p>
        </w:tc>
        <w:tc>
          <w:tcPr>
            <w:tcW w:type="dxa" w:w="69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8"/>
              </w:rPr>
              <w:t>Ранние майя</w:t>
            </w:r>
          </w:p>
        </w:tc>
      </w:tr>
      <w:tr>
        <w:tc>
          <w:tcPr>
            <w:tcW w:type="dxa" w:w="2268"/>
            <w:shd w:fill="EAF2F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8"/>
              </w:rPr>
              <w:t>Исходный статус</w:t>
            </w:r>
          </w:p>
        </w:tc>
        <w:tc>
          <w:tcPr>
            <w:tcW w:type="dxa" w:w="69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8"/>
              </w:rPr>
              <w:t>B</w:t>
            </w:r>
          </w:p>
        </w:tc>
      </w:tr>
      <w:tr>
        <w:tc>
          <w:tcPr>
            <w:tcW w:type="dxa" w:w="2268"/>
            <w:shd w:fill="EAF2F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8"/>
              </w:rPr>
              <w:t>Исходный DR</w:t>
            </w:r>
          </w:p>
        </w:tc>
        <w:tc>
          <w:tcPr>
            <w:tcW w:type="dxa" w:w="69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8"/>
              </w:rPr>
              <w:t>ToS Deep Research_ A46 — Ранние майя(1).docx</w:t>
            </w:r>
          </w:p>
        </w:tc>
      </w:tr>
      <w:tr>
        <w:tc>
          <w:tcPr>
            <w:tcW w:type="dxa" w:w="2268"/>
            <w:shd w:fill="EAF2F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8"/>
              </w:rPr>
              <w:t>Дата проверки</w:t>
            </w:r>
          </w:p>
        </w:tc>
        <w:tc>
          <w:tcPr>
            <w:tcW w:type="dxa" w:w="69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8"/>
              </w:rPr>
              <w:t>2026-09-04</w:t>
            </w:r>
          </w:p>
        </w:tc>
      </w:tr>
      <w:tr>
        <w:tc>
          <w:tcPr>
            <w:tcW w:type="dxa" w:w="2268"/>
            <w:shd w:fill="EAF2F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8"/>
              </w:rPr>
              <w:t>Языки поиска</w:t>
            </w:r>
          </w:p>
        </w:tc>
        <w:tc>
          <w:tcPr>
            <w:tcW w:type="dxa" w:w="69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8"/>
              </w:rPr>
              <w:t>русский, английский, испанский, немецкий, французский; варианты названий на K’iche’, Yucatec Maya и в эпиграфической транслитерации</w:t>
            </w:r>
          </w:p>
        </w:tc>
      </w:tr>
      <w:tr>
        <w:tc>
          <w:tcPr>
            <w:tcW w:type="dxa" w:w="2268"/>
            <w:shd w:fill="EAF2F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8"/>
              </w:rPr>
              <w:t>Практический объём</w:t>
            </w:r>
          </w:p>
        </w:tc>
        <w:tc>
          <w:tcPr>
            <w:tcW w:type="dxa" w:w="691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8"/>
              </w:rPr>
              <w:t>105 записей доступа; 100 различимых заголовков/объектов; 77 первичных, свидетельских или издательских заголовков; 13 пробелов</w:t>
            </w:r>
          </w:p>
        </w:tc>
      </w:tr>
    </w:tbl>
    <w:p/>
    <w:p>
      <w:pPr>
        <w:spacing w:after="100" w:line="259" w:lineRule="auto"/>
      </w:pPr>
      <w:r>
        <w:rPr>
          <w:rFonts w:ascii="Liberation Sans" w:hAnsi="Liberation Sans" w:eastAsia="Liberation Sans"/>
          <w:color w:val="263238"/>
        </w:rPr>
        <w:t>Ядром считались: ранние датированные и контекстуализированные тексты Сан-Бартоло; El Palmar Stela 46; распределённый корпус доклассических и классических монументальных и керамических надписей; календарно-хронологические, династические, ритуальные и придворные тексты; а также цифровые проекты, без которых этот корпус практически нельзя идентифицировать, читать или индексировать.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color w:val="263238"/>
        </w:rPr>
        <w:t>Искались произведения, корпусы, отдельные физические свидетели, критические и популярные издания, переводы, фотоснимки, прорисовки, факсимиле, TEI/XML/CSV/API, музейные записи, издательские страницы, библиотечная выдача и официальные права/Terms of Use. DR использовался как карта, а не как закрытый список.</w:t>
      </w:r>
    </w:p>
    <w:p>
      <w:pPr>
        <w:pStyle w:val="Heading2"/>
        <w:keepNext/>
        <w:spacing w:before="160" w:after="100"/>
      </w:pPr>
      <w:r>
        <w:rPr>
          <w:rFonts w:ascii="Liberation Sans" w:hAnsi="Liberation Sans" w:eastAsia="Liberation Sans"/>
          <w:b/>
          <w:color w:val="2F5597"/>
          <w:sz w:val="24"/>
        </w:rPr>
        <w:t>Роли источников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Для доступа: официальные item-level страницы, издательские страницы, университетские и национальные библиотеки, музейные коллекции, открытые репозитории и специализированные проекты.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Для библиографической идентификации: официальные каталоги, DOI/PMID/ARK/Handle, издатели, музейные инвентарные номера и проектные документы.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Для прав: item-level rights statements, официальные лицензии проекта, Terms of Use и репозиторные политики; возраст древнего объекта не переносился автоматически на современную фотографию, перевод или издание.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Wikipedia не использовалась в итоговых файлах. Кандидаты, не подтверждённые сильным источником, оставлены на листе gaps как unverified_candidate или partially_verified.</w:t>
      </w:r>
    </w:p>
    <w:p>
      <w:pPr>
        <w:pStyle w:val="Heading1"/>
        <w:keepNext/>
        <w:spacing w:before="240" w:after="100"/>
      </w:pPr>
      <w:r>
        <w:rPr>
          <w:rFonts w:ascii="Liberation Sans" w:hAnsi="Liberation Sans" w:eastAsia="Liberation Sans"/>
          <w:b/>
          <w:color w:val="17365D"/>
          <w:sz w:val="32"/>
        </w:rPr>
        <w:t>2. Охват корпуса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color w:val="263238"/>
        </w:rPr>
        <w:t>Реестр содержит 105 практически отличимых маршрутов доступа. Они относятся к 100 различимым названиям произведений, корпусов, свидетелей, изданий и инфраструктурных объектов. Это не онтологический счётчик древних «произведений»: одна и та же текстовая традиция может иметь несколько свидетелей и законных путей доступа, а один цифровой портал может охватывать множество памятников.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17365D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Роль</w:t>
            </w:r>
          </w:p>
        </w:tc>
        <w:tc>
          <w:tcPr>
            <w:tcW w:type="dxa" w:w="3437"/>
            <w:shd w:fill="17365D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Записей доступа</w:t>
            </w:r>
          </w:p>
        </w:tc>
        <w:tc>
          <w:tcPr>
            <w:tcW w:type="dxa" w:w="3437"/>
            <w:shd w:fill="17365D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Характерные объекты</w:t>
            </w:r>
          </w:p>
        </w:tc>
      </w:tr>
      <w:tr>
        <w:tc>
          <w:tcPr>
            <w:tcW w:type="dxa" w:w="3437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ядро</w:t>
            </w:r>
          </w:p>
        </w:tc>
        <w:tc>
          <w:tcPr>
            <w:tcW w:type="dxa" w:w="3437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7"/>
              </w:rPr>
              <w:t>38</w:t>
            </w:r>
          </w:p>
        </w:tc>
        <w:tc>
          <w:tcPr>
            <w:tcW w:type="dxa" w:w="3437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7"/>
              </w:rPr>
              <w:t>San Bartolo, El Palmar 46, CMHI site corpora, Classic Maya vessels</w:t>
            </w:r>
          </w:p>
        </w:tc>
      </w:tr>
      <w:tr>
        <w:tc>
          <w:tcPr>
            <w:tcW w:type="dxa" w:w="3437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тот же корпус/традиция</w:t>
            </w:r>
          </w:p>
        </w:tc>
        <w:tc>
          <w:tcPr>
            <w:tcW w:type="dxa" w:w="3437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7"/>
              </w:rPr>
              <w:t>3</w:t>
            </w:r>
          </w:p>
        </w:tc>
        <w:tc>
          <w:tcPr>
            <w:tcW w:type="dxa" w:w="3437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7"/>
              </w:rPr>
              <w:t>Tikal Stela 29, Leyden Plaque, Kimbell stela</w:t>
            </w:r>
          </w:p>
        </w:tc>
      </w:tr>
      <w:tr>
        <w:tc>
          <w:tcPr>
            <w:tcW w:type="dxa" w:w="3437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предшественники</w:t>
            </w:r>
          </w:p>
        </w:tc>
        <w:tc>
          <w:tcPr>
            <w:tcW w:type="dxa" w:w="3437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7"/>
              </w:rPr>
              <w:t>3</w:t>
            </w:r>
          </w:p>
        </w:tc>
        <w:tc>
          <w:tcPr>
            <w:tcW w:type="dxa" w:w="3437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7"/>
              </w:rPr>
              <w:t>Tuxtla Statuette, Tres Zapotes Stela C, La Mojarra Stela 1</w:t>
            </w:r>
          </w:p>
        </w:tc>
      </w:tr>
      <w:tr>
        <w:tc>
          <w:tcPr>
            <w:tcW w:type="dxa" w:w="3437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продолжения</w:t>
            </w:r>
          </w:p>
        </w:tc>
        <w:tc>
          <w:tcPr>
            <w:tcW w:type="dxa" w:w="3437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7"/>
              </w:rPr>
              <w:t>5</w:t>
            </w:r>
          </w:p>
        </w:tc>
        <w:tc>
          <w:tcPr>
            <w:tcW w:type="dxa" w:w="3437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7"/>
              </w:rPr>
              <w:t>Dresden, Paris, Madrid and Codex Maya de México</w:t>
            </w:r>
          </w:p>
        </w:tc>
      </w:tr>
      <w:tr>
        <w:tc>
          <w:tcPr>
            <w:tcW w:type="dxa" w:w="3437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комментарий/рецепция</w:t>
            </w:r>
          </w:p>
        </w:tc>
        <w:tc>
          <w:tcPr>
            <w:tcW w:type="dxa" w:w="3437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7"/>
              </w:rPr>
              <w:t>8</w:t>
            </w:r>
          </w:p>
        </w:tc>
        <w:tc>
          <w:tcPr>
            <w:tcW w:type="dxa" w:w="3437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7"/>
              </w:rPr>
              <w:t>Förstemann, Morley, codex studies, research notes</w:t>
            </w:r>
          </w:p>
        </w:tc>
      </w:tr>
      <w:tr>
        <w:tc>
          <w:tcPr>
            <w:tcW w:type="dxa" w:w="3437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передача/сохранение</w:t>
            </w:r>
          </w:p>
        </w:tc>
        <w:tc>
          <w:tcPr>
            <w:tcW w:type="dxa" w:w="3437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7"/>
              </w:rPr>
              <w:t>16</w:t>
            </w:r>
          </w:p>
        </w:tc>
        <w:tc>
          <w:tcPr>
            <w:tcW w:type="dxa" w:w="3437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7"/>
              </w:rPr>
              <w:t>Popol Vuh, Annals, Chilam Balam, Landa, Catherwood</w:t>
            </w:r>
          </w:p>
        </w:tc>
      </w:tr>
      <w:tr>
        <w:tc>
          <w:tcPr>
            <w:tcW w:type="dxa" w:w="3437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вспомогательные</w:t>
            </w:r>
          </w:p>
        </w:tc>
        <w:tc>
          <w:tcPr>
            <w:tcW w:type="dxa" w:w="3437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7"/>
              </w:rPr>
              <w:t>12</w:t>
            </w:r>
          </w:p>
        </w:tc>
        <w:tc>
          <w:tcPr>
            <w:tcW w:type="dxa" w:w="3437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7"/>
              </w:rPr>
              <w:t>FAMSI, Wayeb handbooks, PMED, New Catalog</w:t>
            </w:r>
          </w:p>
        </w:tc>
      </w:tr>
      <w:tr>
        <w:tc>
          <w:tcPr>
            <w:tcW w:type="dxa" w:w="3437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пограничные</w:t>
            </w:r>
          </w:p>
        </w:tc>
        <w:tc>
          <w:tcPr>
            <w:tcW w:type="dxa" w:w="3437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7"/>
              </w:rPr>
              <w:t>0</w:t>
            </w:r>
          </w:p>
        </w:tc>
        <w:tc>
          <w:tcPr>
            <w:tcW w:type="dxa" w:w="3437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7"/>
              </w:rPr>
              <w:t>отдельных самостоятельных строк нет; пограничность отмечена в notes</w:t>
            </w:r>
          </w:p>
        </w:tc>
      </w:tr>
      <w:tr>
        <w:tc>
          <w:tcPr>
            <w:tcW w:type="dxa" w:w="3437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инфраструктура</w:t>
            </w:r>
          </w:p>
        </w:tc>
        <w:tc>
          <w:tcPr>
            <w:tcW w:type="dxa" w:w="3437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7"/>
              </w:rPr>
              <w:t>18</w:t>
            </w:r>
          </w:p>
        </w:tc>
        <w:tc>
          <w:tcPr>
            <w:tcW w:type="dxa" w:w="3437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7"/>
              </w:rPr>
              <w:t>CMHI, ClassicMayan, MHD, museum APIs, AILLA</w:t>
            </w:r>
          </w:p>
        </w:tc>
      </w:tr>
      <w:tr>
        <w:tc>
          <w:tcPr>
            <w:tcW w:type="dxa" w:w="3437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вторичная навигация</w:t>
            </w:r>
          </w:p>
        </w:tc>
        <w:tc>
          <w:tcPr>
            <w:tcW w:type="dxa" w:w="3437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7"/>
              </w:rPr>
              <w:t>2</w:t>
            </w:r>
          </w:p>
        </w:tc>
        <w:tc>
          <w:tcPr>
            <w:tcW w:type="dxa" w:w="3437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7"/>
              </w:rPr>
              <w:t>project policies, institutional overviews, Mesoweb reports</w:t>
            </w:r>
          </w:p>
        </w:tc>
      </w:tr>
    </w:tbl>
    <w:p/>
    <w:p>
      <w:pPr>
        <w:pStyle w:val="Heading2"/>
        <w:keepNext/>
        <w:spacing w:before="160" w:after="100"/>
      </w:pPr>
      <w:r>
        <w:rPr>
          <w:rFonts w:ascii="Liberation Sans" w:hAnsi="Liberation Sans" w:eastAsia="Liberation Sans"/>
          <w:b/>
          <w:color w:val="2F5597"/>
          <w:sz w:val="24"/>
        </w:rPr>
        <w:t>Ядро из исходного DR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Сан-Бартоло: ранние настенные и фрагментарные тексты, включая знак «7 Deer», с археологическим контекстом и открытой статьёй 2022 года.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El Palmar Stela 46: ранний Long Count и формирование царской мемориальной эпиграфики; современная открытая публикация датирует памятник 180 годом н. э.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Распределённый классический корпус: стелы, алтари, лестницы, панели, сосуды и другие объекты, представленные через CMHI, ClassicMayan, MHD и музейные коллекции.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Письменность как техническая система: знаки, варианты, транслитерация, морфологическая разметка, TEI/XML, каталоги и словари.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Переход к постклассическим кодексам и колониальным рукописям как линии продолжения, переоформления и сохранения.</w:t>
      </w:r>
    </w:p>
    <w:p>
      <w:pPr>
        <w:pStyle w:val="Heading2"/>
        <w:keepNext/>
        <w:spacing w:before="160" w:after="100"/>
      </w:pPr>
      <w:r>
        <w:rPr>
          <w:rFonts w:ascii="Liberation Sans" w:hAnsi="Liberation Sans" w:eastAsia="Liberation Sans"/>
          <w:b/>
          <w:color w:val="2F5597"/>
          <w:sz w:val="24"/>
        </w:rPr>
        <w:t>Добавления веб-исследования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Развёрнуты официальные site-level входы CMHI для 17 центров, отдельные страницы Копана, полные сканы двух старых томов и официальные маршруты покупки современных томов.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Добавлены CC0-объекты и API The Met и Art Institute of Chicago: сосуды, рельефы и историческая документация, пригодные для изображения, OCR/индексации и объектного анализа в пределах item-level статуса.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Добавлены раннеклассические и сравнительные свидетели: Tikal Stela 29, Leyden Plaque, Tuxtla Statuette, Tres Zapotes Stela C и La Mojarra Stela 1.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Развёрнуты четыре кодексные линии: Dresden, Paris, Madrid и Codex Maya de México, с различными режимами от Public Domain Mark/IIIF до read-only.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Добавлены колониальные и поздние линии передачи: Newberry Ayer MS 1515, Landa, Annals of the Cakchiquels, Maya Chronicles, Books of Chilam Balam и несколько исторических комментариев.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Добавлены современные платные научные пути, когда они лучше свободных по качеству: New Catalog, исследования Madrid Codex и современные переводы Popol Vuh.</w:t>
      </w:r>
    </w:p>
    <w:p>
      <w:pPr>
        <w:pStyle w:val="Heading2"/>
        <w:keepNext/>
        <w:spacing w:before="160" w:after="100"/>
      </w:pPr>
      <w:r>
        <w:rPr>
          <w:rFonts w:ascii="Liberation Sans" w:hAnsi="Liberation Sans" w:eastAsia="Liberation Sans"/>
          <w:b/>
          <w:color w:val="2F5597"/>
          <w:sz w:val="24"/>
        </w:rPr>
        <w:t>Хронологический ореол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color w:val="263238"/>
        </w:rPr>
        <w:t>Назад во времени поиск вывел к более широкому мезоамериканскому горизонту письменности и Long Count. Tuxtla, Tres Zapotes и La Mojarra включены как antecedent/boundary-объекты: они конкретно связаны ранней датированной эпиграфикой и календарным счётом, но не объявлены майязычными текстами и не превращены в «прямых предков» без доказательств.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color w:val="263238"/>
        </w:rPr>
        <w:t>Вперёд во времени постклассические кодексы выступают continuation той же письменной цивилизации, а Popol Vuh, Kaqchikel chronicles, Books of Chilam Balam и Landa — transmission_or_preservation: они сохраняют языковые, календарные, ритуальные и исторические слои после смены носителя, жанра и политического порядка.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color w:val="263238"/>
        </w:rPr>
        <w:t>Поздние комментарии, каталоги и базы включены не как «ещё одна история майя», а потому что через них ранний корпус становится читаемым, проверяемым и технически индексируемым.</w:t>
      </w:r>
    </w:p>
    <w:p>
      <w:pPr>
        <w:pStyle w:val="Heading1"/>
        <w:keepNext/>
        <w:spacing w:before="240" w:after="100"/>
      </w:pPr>
      <w:r>
        <w:rPr>
          <w:rFonts w:ascii="Liberation Sans" w:hAnsi="Liberation Sans" w:eastAsia="Liberation Sans"/>
          <w:b/>
          <w:color w:val="17365D"/>
          <w:sz w:val="32"/>
        </w:rPr>
        <w:t>3. Лучшие пути доступа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color w:val="263238"/>
        </w:rPr>
        <w:t>Ниже — сокращённая карта лучших маршрутов. Полные URL, режимы доступа, coverage, лицензии и ограничения находятся в листе registry.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17365D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Объект/корпус</w:t>
            </w:r>
          </w:p>
        </w:tc>
        <w:tc>
          <w:tcPr>
            <w:tcW w:type="dxa" w:w="3437"/>
            <w:shd w:fill="17365D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Лучший маршрут</w:t>
            </w:r>
          </w:p>
        </w:tc>
        <w:tc>
          <w:tcPr>
            <w:tcW w:type="dxa" w:w="3437"/>
            <w:shd w:fill="17365D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Почему он лучший</w:t>
            </w:r>
          </w:p>
        </w:tc>
      </w:tr>
      <w:t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San Bartolo «7 Deer»</w:t>
            </w:r>
          </w:p>
        </w:tc>
        <w:tc>
          <w:tcPr>
            <w:tcW w:type="dxa" w:w="32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hyperlink r:id="rId11">
              <w:r>
                <w:rPr>
                  <w:color w:val="2F5597"/>
                  <w:u w:val="single"/>
                </w:rPr>
                <w:t>PMC / Science Advances — полный HTML и PDF</w:t>
              </w:r>
            </w:hyperlink>
            <w:r>
              <w:br/>
            </w:r>
            <w:hyperlink r:id="rId12">
              <w:r>
                <w:rPr>
                  <w:color w:val="2F5597"/>
                  <w:u w:val="single"/>
                </w:rPr>
                <w:t>DOI</w:t>
              </w:r>
            </w:hyperlink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7"/>
              </w:rPr>
              <w:t>Лучший бесплатный научный доступ и наиболее ясная открытая лицензия: CC BY-NC 4.0. Покрывает конкретный фрагмент, а не весь сан-бартольский корпус.</w:t>
            </w:r>
          </w:p>
        </w:tc>
      </w:tr>
      <w:tr>
        <w:tc>
          <w:tcPr>
            <w:tcW w:type="dxa" w:w="1984"/>
            <w:shd w:fill="EAF2F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El Palmar Stela 46</w:t>
            </w:r>
          </w:p>
        </w:tc>
        <w:tc>
          <w:tcPr>
            <w:tcW w:type="dxa" w:w="3288"/>
            <w:shd w:fill="EAF2F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hyperlink r:id="rId13">
              <w:r>
                <w:rPr>
                  <w:color w:val="2F5597"/>
                  <w:u w:val="single"/>
                </w:rPr>
                <w:t>Cambridge Core — полный OA-текст</w:t>
              </w:r>
            </w:hyperlink>
            <w:r>
              <w:br/>
            </w:r>
            <w:hyperlink r:id="rId14">
              <w:r>
                <w:rPr>
                  <w:color w:val="2F5597"/>
                  <w:u w:val="single"/>
                </w:rPr>
                <w:t>DOI</w:t>
              </w:r>
            </w:hyperlink>
          </w:p>
        </w:tc>
        <w:tc>
          <w:tcPr>
            <w:tcW w:type="dxa" w:w="3969"/>
            <w:shd w:fill="EAF2F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7"/>
              </w:rPr>
              <w:t>Лучший бесплатный современный разбор; CC BY-NC 4.0. Устанавливает дату 180 н. э.; отдельный музейный/архивный объектный вход ещё нужен.</w:t>
            </w:r>
          </w:p>
        </w:tc>
      </w:tr>
      <w:t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Классические монументальные надписи</w:t>
            </w:r>
          </w:p>
        </w:tc>
        <w:tc>
          <w:tcPr>
            <w:tcW w:type="dxa" w:w="32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hyperlink r:id="rId15">
              <w:r>
                <w:rPr>
                  <w:color w:val="2F5597"/>
                  <w:u w:val="single"/>
                </w:rPr>
                <w:t>CMHI Sites Online</w:t>
              </w:r>
            </w:hyperlink>
            <w:r>
              <w:br/>
            </w:r>
            <w:hyperlink r:id="rId16">
              <w:r>
                <w:rPr>
                  <w:color w:val="2F5597"/>
                  <w:u w:val="single"/>
                </w:rPr>
                <w:t>CMHI series</w:t>
              </w:r>
            </w:hyperlink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7"/>
              </w:rPr>
              <w:t>Лучший официальный визуальный маршрут по памятникам. Свободное чтение не равно открытому зеркалированию: Peabody рассматривает публикационные и database-use запросы отдельно.</w:t>
            </w:r>
          </w:p>
        </w:tc>
      </w:tr>
      <w:tr>
        <w:tc>
          <w:tcPr>
            <w:tcW w:type="dxa" w:w="1984"/>
            <w:shd w:fill="EAF2F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Знаки, разметка и машиночитаемая инфраструктура</w:t>
            </w:r>
          </w:p>
        </w:tc>
        <w:tc>
          <w:tcPr>
            <w:tcW w:type="dxa" w:w="3288"/>
            <w:shd w:fill="EAF2F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hyperlink r:id="rId17">
              <w:r>
                <w:rPr>
                  <w:color w:val="2F5597"/>
                  <w:u w:val="single"/>
                </w:rPr>
                <w:t>ClassicMayan portal</w:t>
              </w:r>
            </w:hyperlink>
            <w:r>
              <w:br/>
            </w:r>
            <w:hyperlink r:id="rId18">
              <w:r>
                <w:rPr>
                  <w:color w:val="2F5597"/>
                  <w:u w:val="single"/>
                </w:rPr>
                <w:t>Sign Catalog</w:t>
              </w:r>
            </w:hyperlink>
            <w:r>
              <w:br/>
            </w:r>
            <w:hyperlink r:id="rId19">
              <w:r>
                <w:rPr>
                  <w:color w:val="2F5597"/>
                  <w:u w:val="single"/>
                </w:rPr>
                <w:t>TEI schema</w:t>
              </w:r>
            </w:hyperlink>
            <w:r>
              <w:br/>
            </w:r>
            <w:hyperlink r:id="rId20">
              <w:r>
                <w:rPr>
                  <w:color w:val="2F5597"/>
                  <w:u w:val="single"/>
                </w:rPr>
                <w:t>MHD</w:t>
              </w:r>
            </w:hyperlink>
          </w:p>
        </w:tc>
        <w:tc>
          <w:tcPr>
            <w:tcW w:type="dxa" w:w="3969"/>
            <w:shd w:fill="EAF2F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7"/>
              </w:rPr>
              <w:t>ClassicMayan — наиболее свободный слой для project-owned материалов под CC BY 4.0. MHD богаче как рабочая база, но экспорт и database rights требуют отдельного разрешения.</w:t>
            </w:r>
          </w:p>
        </w:tc>
      </w:tr>
      <w:t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Dresden Codex</w:t>
            </w:r>
          </w:p>
        </w:tc>
        <w:tc>
          <w:tcPr>
            <w:tcW w:type="dxa" w:w="32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hyperlink r:id="rId21">
              <w:r>
                <w:rPr>
                  <w:color w:val="2F5597"/>
                  <w:u w:val="single"/>
                </w:rPr>
                <w:t>SLUB complete facsimile</w:t>
              </w:r>
            </w:hyperlink>
            <w:r>
              <w:br/>
            </w:r>
            <w:hyperlink r:id="rId22">
              <w:r>
                <w:rPr>
                  <w:color w:val="2F5597"/>
                  <w:u w:val="single"/>
                </w:rPr>
                <w:t>DDB item rights</w:t>
              </w:r>
            </w:hyperlink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7"/>
              </w:rPr>
              <w:t>Лучший полный факсимильный и переводческий базис. DDB применяет Public Domain Mark 1.0; это rights label, а не лицензия, поэтому сохраняется юрисдикционная оговорка.</w:t>
            </w:r>
          </w:p>
        </w:tc>
      </w:tr>
      <w:tr>
        <w:tc>
          <w:tcPr>
            <w:tcW w:type="dxa" w:w="1984"/>
            <w:shd w:fill="EAF2F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Paris Codex</w:t>
            </w:r>
          </w:p>
        </w:tc>
        <w:tc>
          <w:tcPr>
            <w:tcW w:type="dxa" w:w="3288"/>
            <w:shd w:fill="EAF2F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hyperlink r:id="rId23">
              <w:r>
                <w:rPr>
                  <w:color w:val="2F5597"/>
                  <w:u w:val="single"/>
                </w:rPr>
                <w:t>Gallica item</w:t>
              </w:r>
            </w:hyperlink>
            <w:r>
              <w:br/>
            </w:r>
            <w:hyperlink r:id="rId24">
              <w:r>
                <w:rPr>
                  <w:color w:val="2F5597"/>
                  <w:u w:val="single"/>
                </w:rPr>
                <w:t>IIIF manifest</w:t>
              </w:r>
            </w:hyperlink>
          </w:p>
        </w:tc>
        <w:tc>
          <w:tcPr>
            <w:tcW w:type="dxa" w:w="3969"/>
            <w:shd w:fill="EAF2F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7"/>
              </w:rPr>
              <w:t>Лучший машиночитаемый факсимильный маршрут. Некоммерческое повторное использование обычно допускается с атрибуцией BnF/ARK; коммерческое требует отдельной проверки.</w:t>
            </w:r>
          </w:p>
        </w:tc>
      </w:tr>
      <w:t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Madrid Codex и Codex Maya de México</w:t>
            </w:r>
          </w:p>
        </w:tc>
        <w:tc>
          <w:tcPr>
            <w:tcW w:type="dxa" w:w="32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hyperlink r:id="rId25">
              <w:r>
                <w:rPr>
                  <w:color w:val="2F5597"/>
                  <w:u w:val="single"/>
                </w:rPr>
                <w:t>Museo de América — Madrid Codex</w:t>
              </w:r>
            </w:hyperlink>
            <w:r>
              <w:br/>
            </w:r>
            <w:hyperlink r:id="rId26">
              <w:r>
                <w:rPr>
                  <w:color w:val="2F5597"/>
                  <w:u w:val="single"/>
                </w:rPr>
                <w:t>INAH — Codex Maya de México</w:t>
              </w:r>
            </w:hyperlink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7"/>
              </w:rPr>
              <w:t>Лучшие официальные read-only/interactive маршруты. Для обоих не найден столь же ясный открытый high-resolution download слой, как у Dresden/Paris.</w:t>
            </w:r>
          </w:p>
        </w:tc>
      </w:tr>
      <w:tr>
        <w:tc>
          <w:tcPr>
            <w:tcW w:type="dxa" w:w="1984"/>
            <w:shd w:fill="EAF2F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Popol Vuh / Popol Wuj</w:t>
            </w:r>
          </w:p>
        </w:tc>
        <w:tc>
          <w:tcPr>
            <w:tcW w:type="dxa" w:w="3288"/>
            <w:shd w:fill="EAF2F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hyperlink r:id="rId27">
              <w:r>
                <w:rPr>
                  <w:color w:val="2F5597"/>
                  <w:u w:val="single"/>
                </w:rPr>
                <w:t>Newberry Ayer MS 1515</w:t>
              </w:r>
            </w:hyperlink>
            <w:r>
              <w:br/>
            </w:r>
            <w:hyperlink r:id="rId28">
              <w:r>
                <w:rPr>
                  <w:color w:val="2F5597"/>
                  <w:u w:val="single"/>
                </w:rPr>
                <w:t>Christenson at Mesoweb</w:t>
              </w:r>
            </w:hyperlink>
            <w:r>
              <w:br/>
            </w:r>
            <w:hyperlink r:id="rId29">
              <w:r>
                <w:rPr>
                  <w:color w:val="2F5597"/>
                  <w:u w:val="single"/>
                </w:rPr>
                <w:t>Project Gutenberg old translation</w:t>
              </w:r>
            </w:hyperlink>
          </w:p>
        </w:tc>
        <w:tc>
          <w:tcPr>
            <w:tcW w:type="dxa" w:w="3969"/>
            <w:shd w:fill="EAF2F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7"/>
              </w:rPr>
              <w:t>Newberry — лучший чистый оригинальный свидетель и основание для собственного перевода. Christenson — лучший свободно читаемый современный маршрут, но его редакция защищена. Gutenberg — старый публичнодоменный английский слой.</w:t>
            </w:r>
          </w:p>
        </w:tc>
      </w:tr>
      <w:tr>
        <w:tc>
          <w:tcPr>
            <w:tcW w:type="dxa" w:w="19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Открытые музейные объекты</w:t>
            </w:r>
          </w:p>
        </w:tc>
        <w:tc>
          <w:tcPr>
            <w:tcW w:type="dxa" w:w="32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hyperlink r:id="rId30">
              <w:r>
                <w:rPr>
                  <w:color w:val="2F5597"/>
                  <w:u w:val="single"/>
                </w:rPr>
                <w:t>The Met Open Access</w:t>
              </w:r>
            </w:hyperlink>
            <w:r>
              <w:br/>
            </w:r>
            <w:hyperlink r:id="rId31">
              <w:r>
                <w:rPr>
                  <w:color w:val="2F5597"/>
                  <w:u w:val="single"/>
                </w:rPr>
                <w:t>Art Institute Open Access</w:t>
              </w:r>
            </w:hyperlink>
          </w:p>
        </w:tc>
        <w:tc>
          <w:tcPr>
            <w:tcW w:type="dxa" w:w="396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7"/>
              </w:rPr>
              <w:t>Лучший слой для CC0-изображений, metadata/API и embeddings. Право относится только к item-level объектам, отмеченным Public Domain/Open Access.</w:t>
            </w:r>
          </w:p>
        </w:tc>
      </w:tr>
    </w:tbl>
    <w:p/>
    <w:p>
      <w:pPr>
        <w:pStyle w:val="Heading2"/>
        <w:keepNext/>
        <w:spacing w:before="160" w:after="100"/>
      </w:pPr>
      <w:r>
        <w:rPr>
          <w:rFonts w:ascii="Liberation Sans" w:hAnsi="Liberation Sans" w:eastAsia="Liberation Sans"/>
          <w:b/>
          <w:color w:val="2F5597"/>
          <w:sz w:val="24"/>
        </w:rPr>
        <w:t>Сравнение свободного и современного научного слоя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color w:val="263238"/>
        </w:rPr>
        <w:t>Старые публичнодоменные издания удобны для полнотекстового поиска и зеркалирования, но часто научно устарели. Современные критические работы лучше по чтениям и контексту, однако обычно защищены. Поэтому для ToS оптимален двухслойный подход: открытый оригинал/факсимиле как юридическая и переводческая основа плюс современная литература как научный контроль, без копирования её защищённого выражения.</w:t>
      </w:r>
    </w:p>
    <w:p>
      <w:pPr>
        <w:pStyle w:val="Heading1"/>
        <w:keepNext/>
        <w:spacing w:before="240" w:after="100"/>
      </w:pPr>
      <w:r>
        <w:rPr>
          <w:rFonts w:ascii="Liberation Sans" w:hAnsi="Liberation Sans" w:eastAsia="Liberation Sans"/>
          <w:b/>
          <w:color w:val="17365D"/>
          <w:sz w:val="32"/>
        </w:rPr>
        <w:t>4. Карта прав и практического использования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2F8"/>
            <w:tcBorders>
              <w:top w:val="single" w:sz="8" w:color="C28E2C"/>
              <w:left w:val="single" w:sz="8" w:color="C28E2C"/>
              <w:bottom w:val="single" w:sz="8" w:color="C28E2C"/>
              <w:right w:val="single" w:sz="8" w:color="C28E2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17365D"/>
                <w:sz w:val="21"/>
              </w:rPr>
              <w:t>Не юридическое заключение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63238"/>
                <w:sz w:val="20"/>
              </w:rPr>
              <w:t>Реестр фиксирует проверенные публичные заявления и осторожные рабочие выводы. Для массового зеркалирования, публикации производных наборов или коммерческого режима нужна повторная item-level проверка.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17365D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Группа</w:t>
            </w:r>
          </w:p>
        </w:tc>
        <w:tc>
          <w:tcPr>
            <w:tcW w:type="dxa" w:w="3437"/>
            <w:shd w:fill="17365D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Что входит</w:t>
            </w:r>
          </w:p>
        </w:tc>
        <w:tc>
          <w:tcPr>
            <w:tcW w:type="dxa" w:w="3437"/>
            <w:shd w:fill="17365D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Практический вывод</w:t>
            </w:r>
          </w:p>
        </w:tc>
      </w:tr>
      <w:tr>
        <w:tc>
          <w:tcPr>
            <w:tcW w:type="dxa" w:w="3437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4" w:color="E6D9B5"/>
              <w:left w:val="single" w:sz="4" w:color="E6D9B5"/>
              <w:bottom w:val="single" w:sz="4" w:color="E6D9B5"/>
              <w:right w:val="single" w:sz="4" w:color="E6D9B5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Потенциально зеркалируемый слой</w:t>
            </w:r>
          </w:p>
        </w:tc>
        <w:tc>
          <w:tcPr>
            <w:tcW w:type="dxa" w:w="3437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4" w:color="E6D9B5"/>
              <w:left w:val="single" w:sz="4" w:color="E6D9B5"/>
              <w:bottom w:val="single" w:sz="4" w:color="E6D9B5"/>
              <w:right w:val="single" w:sz="4" w:color="E6D9B5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263238"/>
                <w:sz w:val="17"/>
              </w:rPr>
              <w:t>CC0-изображения/данные The Met и Art Institute; project-owned материалы ClassicMayan под CC BY 4.0; Newberry Ayer MS 1515 с No Copyright – United States; Project Gutenberg; Dresden Codex с Public Domain Mark.</w:t>
            </w:r>
          </w:p>
        </w:tc>
        <w:tc>
          <w:tcPr>
            <w:tcW w:type="dxa" w:w="3437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4" w:color="E6D9B5"/>
              <w:left w:val="single" w:sz="4" w:color="E6D9B5"/>
              <w:bottom w:val="single" w:sz="4" w:color="E6D9B5"/>
              <w:right w:val="single" w:sz="4" w:color="E6D9B5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263238"/>
                <w:sz w:val="17"/>
              </w:rPr>
              <w:t>28 строк имеют MIRROR_OK, но всегда в пределах указанного rights_scope/coverage.</w:t>
            </w:r>
          </w:p>
        </w:tc>
      </w:tr>
      <w:tr>
        <w:tc>
          <w:tcPr>
            <w:tcW w:type="dxa" w:w="3437"/>
            <w:shd w:fill="FFF7E6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4" w:color="E6D9B5"/>
              <w:left w:val="single" w:sz="4" w:color="E6D9B5"/>
              <w:bottom w:val="single" w:sz="4" w:color="E6D9B5"/>
              <w:right w:val="single" w:sz="4" w:color="E6D9B5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Некоммерческое использование с условиями</w:t>
            </w:r>
          </w:p>
        </w:tc>
        <w:tc>
          <w:tcPr>
            <w:tcW w:type="dxa" w:w="3437"/>
            <w:shd w:fill="FFF7E6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4" w:color="E6D9B5"/>
              <w:left w:val="single" w:sz="4" w:color="E6D9B5"/>
              <w:bottom w:val="single" w:sz="4" w:color="E6D9B5"/>
              <w:right w:val="single" w:sz="4" w:color="E6D9B5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263238"/>
                <w:sz w:val="17"/>
              </w:rPr>
              <w:t>San Bartolo 2022 и El Palmar 2026 — CC BY-NC 4.0; Gallica — некоммерческое повторное использование с атрибуцией; INAH Tres Zapotes — CC BY-NC-ND 4.0 для охваченных файлов.</w:t>
            </w:r>
          </w:p>
        </w:tc>
        <w:tc>
          <w:tcPr>
            <w:tcW w:type="dxa" w:w="3437"/>
            <w:shd w:fill="FFF7E6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4" w:color="E6D9B5"/>
              <w:left w:val="single" w:sz="4" w:color="E6D9B5"/>
              <w:bottom w:val="single" w:sz="4" w:color="E6D9B5"/>
              <w:right w:val="single" w:sz="4" w:color="E6D9B5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263238"/>
                <w:sz w:val="17"/>
              </w:rPr>
              <w:t>4 строк помечены MIRROR_NONCOMMERCIAL; ND означает отсутствие переработки файла.</w:t>
            </w:r>
          </w:p>
        </w:tc>
      </w:tr>
      <w:tr>
        <w:tc>
          <w:tcPr>
            <w:tcW w:type="dxa" w:w="3437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4" w:color="E6D9B5"/>
              <w:left w:val="single" w:sz="4" w:color="E6D9B5"/>
              <w:bottom w:val="single" w:sz="4" w:color="E6D9B5"/>
              <w:right w:val="single" w:sz="4" w:color="E6D9B5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Бесплатно читать/скачивать, но не зеркалировать автоматически</w:t>
            </w:r>
          </w:p>
        </w:tc>
        <w:tc>
          <w:tcPr>
            <w:tcW w:type="dxa" w:w="3437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4" w:color="E6D9B5"/>
              <w:left w:val="single" w:sz="4" w:color="E6D9B5"/>
              <w:bottom w:val="single" w:sz="4" w:color="E6D9B5"/>
              <w:right w:val="single" w:sz="4" w:color="E6D9B5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263238"/>
                <w:sz w:val="17"/>
              </w:rPr>
              <w:t>Peabody CMHI, FAMSI, Wayeb handbooks, MHD exports, Christenson/Mesoweb, некоторые Internet Archive scans.</w:t>
            </w:r>
          </w:p>
        </w:tc>
        <w:tc>
          <w:tcPr>
            <w:tcW w:type="dxa" w:w="3437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4" w:color="E6D9B5"/>
              <w:left w:val="single" w:sz="4" w:color="E6D9B5"/>
              <w:bottom w:val="single" w:sz="4" w:color="E6D9B5"/>
              <w:right w:val="single" w:sz="4" w:color="E6D9B5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263238"/>
                <w:sz w:val="17"/>
              </w:rPr>
              <w:t>Кнопка Download и открытая веб-страница не заменяют лицензию.</w:t>
            </w:r>
          </w:p>
        </w:tc>
      </w:tr>
      <w:tr>
        <w:tc>
          <w:tcPr>
            <w:tcW w:type="dxa" w:w="3437"/>
            <w:shd w:fill="FFF7E6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4" w:color="E6D9B5"/>
              <w:left w:val="single" w:sz="4" w:color="E6D9B5"/>
              <w:bottom w:val="single" w:sz="4" w:color="E6D9B5"/>
              <w:right w:val="single" w:sz="4" w:color="E6D9B5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Link-only / borrow / preview / purchase</w:t>
            </w:r>
          </w:p>
        </w:tc>
        <w:tc>
          <w:tcPr>
            <w:tcW w:type="dxa" w:w="3437"/>
            <w:shd w:fill="FFF7E6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4" w:color="E6D9B5"/>
              <w:left w:val="single" w:sz="4" w:color="E6D9B5"/>
              <w:bottom w:val="single" w:sz="4" w:color="E6D9B5"/>
              <w:right w:val="single" w:sz="4" w:color="E6D9B5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263238"/>
                <w:sz w:val="17"/>
              </w:rPr>
              <w:t>Современные CMHI volumes, New Catalog, Madrid Codex studies, издательские Popol Vuh editions, музейные фотографии без Open Access badge.</w:t>
            </w:r>
          </w:p>
        </w:tc>
        <w:tc>
          <w:tcPr>
            <w:tcW w:type="dxa" w:w="3437"/>
            <w:shd w:fill="FFF7E6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4" w:color="E6D9B5"/>
              <w:left w:val="single" w:sz="4" w:color="E6D9B5"/>
              <w:bottom w:val="single" w:sz="4" w:color="E6D9B5"/>
              <w:right w:val="single" w:sz="4" w:color="E6D9B5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263238"/>
                <w:sz w:val="17"/>
              </w:rPr>
              <w:t>58 строк явно включают LINK_ONLY; protected material remains useful as lawful access.</w:t>
            </w:r>
          </w:p>
        </w:tc>
      </w:tr>
      <w:tr>
        <w:tc>
          <w:tcPr>
            <w:tcW w:type="dxa" w:w="3437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4" w:color="E6D9B5"/>
              <w:left w:val="single" w:sz="4" w:color="E6D9B5"/>
              <w:bottom w:val="single" w:sz="4" w:color="E6D9B5"/>
              <w:right w:val="single" w:sz="4" w:color="E6D9B5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Собственный перевод ToS</w:t>
            </w:r>
          </w:p>
        </w:tc>
        <w:tc>
          <w:tcPr>
            <w:tcW w:type="dxa" w:w="3437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4" w:color="E6D9B5"/>
              <w:left w:val="single" w:sz="4" w:color="E6D9B5"/>
              <w:bottom w:val="single" w:sz="4" w:color="E6D9B5"/>
              <w:right w:val="single" w:sz="4" w:color="E6D9B5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263238"/>
                <w:sz w:val="17"/>
              </w:rPr>
              <w:t>Наиболее чистые основы: Newberry Popol Vuh witness; Dresden и Paris Codices; CC0 museum object images; openly licensed San Bartolo/El Palmar fragments; CC BY ClassicMayan readings where component ownership is explicit.</w:t>
            </w:r>
          </w:p>
        </w:tc>
        <w:tc>
          <w:tcPr>
            <w:tcW w:type="dxa" w:w="3437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4" w:color="E6D9B5"/>
              <w:left w:val="single" w:sz="4" w:color="E6D9B5"/>
              <w:bottom w:val="single" w:sz="4" w:color="E6D9B5"/>
              <w:right w:val="single" w:sz="4" w:color="E6D9B5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263238"/>
                <w:sz w:val="17"/>
              </w:rPr>
              <w:t>24 строк имеют OWN_TRANSLATION_POSSIBLE; тег ограничен одним фрагментом/свидетелем/компонентом.</w:t>
            </w:r>
          </w:p>
        </w:tc>
      </w:tr>
      <w:tr>
        <w:tc>
          <w:tcPr>
            <w:tcW w:type="dxa" w:w="3437"/>
            <w:shd w:fill="FFF7E6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4" w:color="E6D9B5"/>
              <w:left w:val="single" w:sz="4" w:color="E6D9B5"/>
              <w:bottom w:val="single" w:sz="4" w:color="E6D9B5"/>
              <w:right w:val="single" w:sz="4" w:color="E6D9B5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7"/>
              </w:rPr>
              <w:t>Ручная проверка</w:t>
            </w:r>
          </w:p>
        </w:tc>
        <w:tc>
          <w:tcPr>
            <w:tcW w:type="dxa" w:w="3437"/>
            <w:shd w:fill="FFF7E6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4" w:color="E6D9B5"/>
              <w:left w:val="single" w:sz="4" w:color="E6D9B5"/>
              <w:bottom w:val="single" w:sz="4" w:color="E6D9B5"/>
              <w:right w:val="single" w:sz="4" w:color="E6D9B5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263238"/>
                <w:sz w:val="17"/>
              </w:rPr>
              <w:t>Смешанные project/third-party images, музейные фотографии, database exports, исторические PD-выводы вне США, и сайты без item-level rights statement.</w:t>
            </w:r>
          </w:p>
        </w:tc>
        <w:tc>
          <w:tcPr>
            <w:tcW w:type="dxa" w:w="3437"/>
            <w:shd w:fill="FFF7E6"/>
            <w:tcMar>
              <w:top w:w="70" w:type="dxa"/>
              <w:start w:w="75" w:type="dxa"/>
              <w:bottom w:w="70" w:type="dxa"/>
              <w:end w:w="75" w:type="dxa"/>
            </w:tcMar>
            <w:tcBorders>
              <w:top w:val="single" w:sz="4" w:color="E6D9B5"/>
              <w:left w:val="single" w:sz="4" w:color="E6D9B5"/>
              <w:bottom w:val="single" w:sz="4" w:color="E6D9B5"/>
              <w:right w:val="single" w:sz="4" w:color="E6D9B5"/>
            </w:tcBorders>
          </w:tcPr>
          <w:p>
            <w:r>
              <w:rPr>
                <w:rFonts w:ascii="Liberation Sans" w:hAnsi="Liberation Sans" w:eastAsia="Liberation Sans"/>
                <w:b w:val="0"/>
                <w:color w:val="263238"/>
                <w:sz w:val="17"/>
              </w:rPr>
              <w:t>79 строк содержат RIGHTS_REVIEW_REQUIRED.</w:t>
            </w:r>
          </w:p>
        </w:tc>
      </w:tr>
    </w:tbl>
    <w:p/>
    <w:p>
      <w:pPr>
        <w:pStyle w:val="Heading2"/>
        <w:keepNext/>
        <w:spacing w:before="160" w:after="100"/>
      </w:pPr>
      <w:r>
        <w:rPr>
          <w:rFonts w:ascii="Liberation Sans" w:hAnsi="Liberation Sans" w:eastAsia="Liberation Sans"/>
          <w:b/>
          <w:color w:val="2F5597"/>
          <w:sz w:val="24"/>
        </w:rPr>
        <w:t>Практическая архитектура использования для ToS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</w:rPr>
        <w:t>Хранить оригинальный access URL, stable identifier и rights evidence отдельно от локального файла.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</w:rPr>
        <w:t>Для каждого загруженного изображения или текста переносить в локальные метаданные rights_scope и coverage, а не только короткий тег.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</w:rPr>
        <w:t>Строить OCR, embeddings и полнотекстовый индекс только там, где соответствующее действие доказано или ограничено внутренней исследовательской копией.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</w:rPr>
        <w:t>Для публичной выдачи файлов использовать allowlist: CC0, CC BY, допустимый NC-режим, проверенный public-domain объект или отдельное разрешение.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</w:rPr>
        <w:t>Современные переводы и критические чтения хранить как библиографические ссылки/заметки; независимый перевод строить от чистого источника, а не от защищённого посредника.</w:t>
      </w:r>
    </w:p>
    <w:p>
      <w:pPr>
        <w:pStyle w:val="Heading1"/>
        <w:keepNext/>
        <w:spacing w:before="240" w:after="100"/>
      </w:pPr>
      <w:r>
        <w:rPr>
          <w:rFonts w:ascii="Liberation Sans" w:hAnsi="Liberation Sans" w:eastAsia="Liberation Sans"/>
          <w:b/>
          <w:color w:val="17365D"/>
          <w:sz w:val="32"/>
        </w:rPr>
        <w:t>5. Характерные правовые тонкости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Древний текст ≠ свободная фотография. Стела, сосуд или кодекс могут быть вне авторского права, но музейная фотография, прорисовка, критическая реконструкция и интерфейс — отдельные объекты прав.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Public Domain Mark — не лицензия. Для Dresden Codex это сильное item-level указание, но ToS должен сохранять источник, проверять юрисдикцию и не называть PDM лицензией.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CC BY-NC покрывает только лицензированный слой. San Bartolo и El Palmar можно использовать некоммерчески с атрибуцией, но отдельно кредитованные фотографии/карты/чужие фигуры требуют проверки.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CC BY ClassicMayan не распространяется автоматически на third-party photographs. Открыты project-owned drawings, texts, data and publications; внешние изображения остаются под своими правами.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INAH CC BY-NC-ND означает «без изменений». Допустимо распространить охваченный файл неизменённым с атрибуцией и некоммерчески, но нельзя выводить из ND разрешение на публичный OCR-derivative или отредактированную картинку.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Open data ≠ open images. У Met/AIC/CMA/Smithsonian metadata и image layer могут иметь разные статусы; registry связывает право с конкретным item/API scope.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Internet Archive availability ≠ authorization. Полные CMHI scans включены как полезный доступ, но не как доказательство зеркалирования.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US public domain не всегда решает глобальный статус. Project Gutenberg, Newberry и Smithsonian No Copyright формулировки требуют проверки страны размещения и аудитории.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</w:rPr>
        <w:t>AILLA и современные языковые архивы несут depositor/community restrictions. Некоммерческий образовательный характер ToS не отменяет протоколы доступа и культурные ожидания.</w:t>
      </w:r>
    </w:p>
    <w:p>
      <w:pPr>
        <w:pStyle w:val="Heading1"/>
        <w:keepNext/>
        <w:spacing w:before="240" w:after="100"/>
      </w:pPr>
      <w:r>
        <w:rPr>
          <w:rFonts w:ascii="Liberation Sans" w:hAnsi="Liberation Sans" w:eastAsia="Liberation Sans"/>
          <w:b/>
          <w:color w:val="17365D"/>
          <w:sz w:val="32"/>
        </w:rPr>
        <w:t>6. Пробелы и дальнейший поиск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color w:val="263238"/>
        </w:rPr>
        <w:t>Лист gaps содержит отдельные задачи, которые не были искусственно превращены в «найденные» строки. Часть кандидатов имеет сильный lead, но не хватает item-level страницы, полного цифрового объекта или доказательной лицензии.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17365D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Кандидат</w:t>
            </w:r>
          </w:p>
        </w:tc>
        <w:tc>
          <w:tcPr>
            <w:tcW w:type="dxa" w:w="3437"/>
            <w:shd w:fill="17365D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3437"/>
            <w:shd w:fill="17365D"/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Что требуется</w:t>
            </w:r>
          </w:p>
        </w:tc>
      </w:tr>
      <w:tr>
        <w:tc>
          <w:tcPr>
            <w:tcW w:type="dxa" w:w="3437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6"/>
              </w:rPr>
              <w:t>San Bartolo painted-text fragments: item-level inventory and complete facsimile set</w:t>
            </w:r>
          </w:p>
        </w:tc>
        <w:tc>
          <w:tcPr>
            <w:tcW w:type="dxa" w:w="3437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sz w:val="16"/>
              </w:rPr>
              <w:t>not_found_at_item_level</w:t>
            </w:r>
          </w:p>
        </w:tc>
        <w:tc>
          <w:tcPr>
            <w:tcW w:type="dxa" w:w="3437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sz w:val="16"/>
              </w:rPr>
              <w:t>Locate excavation inventory numbers, current repository/custodian, high-resolution images, and item-level reproduction terms.</w:t>
            </w:r>
          </w:p>
        </w:tc>
      </w:tr>
      <w:tr>
        <w:tc>
          <w:tcPr>
            <w:tcW w:type="dxa" w:w="3437"/>
            <w:shd w:fill="F2F2F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6"/>
              </w:rPr>
              <w:t>El Palmar Stela 46: official object/field archive record</w:t>
            </w:r>
          </w:p>
        </w:tc>
        <w:tc>
          <w:tcPr>
            <w:tcW w:type="dxa" w:w="3437"/>
            <w:shd w:fill="F2F2F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sz w:val="16"/>
              </w:rPr>
              <w:t>not_found_at_item_level</w:t>
            </w:r>
          </w:p>
        </w:tc>
        <w:tc>
          <w:tcPr>
            <w:tcW w:type="dxa" w:w="3437"/>
            <w:shd w:fill="F2F2F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sz w:val="16"/>
              </w:rPr>
              <w:t>Find INAH/project archive identifier, stable image repository, and item-level rights for photographs and drawings.</w:t>
            </w:r>
          </w:p>
        </w:tc>
      </w:tr>
      <w:tr>
        <w:tc>
          <w:tcPr>
            <w:tcW w:type="dxa" w:w="3437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6"/>
              </w:rPr>
              <w:t>ClassicMayan / ULB Bonn Text and Image Archive: exact collection and item URLs</w:t>
            </w:r>
          </w:p>
        </w:tc>
        <w:tc>
          <w:tcPr>
            <w:tcW w:type="dxa" w:w="3437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sz w:val="16"/>
              </w:rPr>
              <w:t>partially_verified</w:t>
            </w:r>
          </w:p>
        </w:tc>
        <w:tc>
          <w:tcPr>
            <w:tcW w:type="dxa" w:w="3437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sz w:val="16"/>
              </w:rPr>
              <w:t>Locate current ULB collection URL, export/API mechanism, item identifiers, and rights metadata for text, drawings, and photographs.</w:t>
            </w:r>
          </w:p>
        </w:tc>
      </w:tr>
      <w:tr>
        <w:tc>
          <w:tcPr>
            <w:tcW w:type="dxa" w:w="3437"/>
            <w:shd w:fill="F2F2F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6"/>
              </w:rPr>
              <w:t>Maya Hieroglyphic Database: reusable bulk export and database license</w:t>
            </w:r>
          </w:p>
        </w:tc>
        <w:tc>
          <w:tcPr>
            <w:tcW w:type="dxa" w:w="3437"/>
            <w:shd w:fill="F2F2F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sz w:val="16"/>
              </w:rPr>
              <w:t>rights_unverified</w:t>
            </w:r>
          </w:p>
        </w:tc>
        <w:tc>
          <w:tcPr>
            <w:tcW w:type="dxa" w:w="3437"/>
            <w:shd w:fill="F2F2F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sz w:val="16"/>
              </w:rPr>
              <w:t>Obtain an official license/terms statement covering exported records, transcriptions, sign coding, images, and redistribution.</w:t>
            </w:r>
          </w:p>
        </w:tc>
      </w:tr>
      <w:tr>
        <w:tc>
          <w:tcPr>
            <w:tcW w:type="dxa" w:w="3437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6"/>
              </w:rPr>
              <w:t>Madrid Codex: complete official high-resolution IIIF/PDF facsimile</w:t>
            </w:r>
          </w:p>
        </w:tc>
        <w:tc>
          <w:tcPr>
            <w:tcW w:type="dxa" w:w="3437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sz w:val="16"/>
              </w:rPr>
              <w:t>not_found</w:t>
            </w:r>
          </w:p>
        </w:tc>
        <w:tc>
          <w:tcPr>
            <w:tcW w:type="dxa" w:w="3437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sz w:val="16"/>
              </w:rPr>
              <w:t>Find an official full-facsimile endpoint, IIIF manifest or library record, plus item-level image rights.</w:t>
            </w:r>
          </w:p>
        </w:tc>
      </w:tr>
      <w:tr>
        <w:tc>
          <w:tcPr>
            <w:tcW w:type="dxa" w:w="3437"/>
            <w:shd w:fill="F2F2F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6"/>
              </w:rPr>
              <w:t>Codex Maya of Mexico: downloadable master facsimile and item-level rights</w:t>
            </w:r>
          </w:p>
        </w:tc>
        <w:tc>
          <w:tcPr>
            <w:tcW w:type="dxa" w:w="3437"/>
            <w:shd w:fill="F2F2F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sz w:val="16"/>
              </w:rPr>
              <w:t>partially_verified</w:t>
            </w:r>
          </w:p>
        </w:tc>
        <w:tc>
          <w:tcPr>
            <w:tcW w:type="dxa" w:w="3437"/>
            <w:shd w:fill="F2F2F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sz w:val="16"/>
              </w:rPr>
              <w:t>Identify downloadable image masters, stable identifiers, and separate rights for photography, interface, annotations, and reconstruction.</w:t>
            </w:r>
          </w:p>
        </w:tc>
      </w:tr>
      <w:tr>
        <w:tc>
          <w:tcPr>
            <w:tcW w:type="dxa" w:w="3437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6"/>
              </w:rPr>
              <w:t>Chiapa de Corzo Stela 2</w:t>
            </w:r>
          </w:p>
        </w:tc>
        <w:tc>
          <w:tcPr>
            <w:tcW w:type="dxa" w:w="3437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sz w:val="16"/>
              </w:rPr>
              <w:t>unverified_candidate</w:t>
            </w:r>
          </w:p>
        </w:tc>
        <w:tc>
          <w:tcPr>
            <w:tcW w:type="dxa" w:w="3437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sz w:val="16"/>
              </w:rPr>
              <w:t>Find an official INAH/museum record or peer-reviewed edition with stable monument ID, images, date, and rights statement.</w:t>
            </w:r>
          </w:p>
        </w:tc>
      </w:tr>
      <w:tr>
        <w:tc>
          <w:tcPr>
            <w:tcW w:type="dxa" w:w="3437"/>
            <w:shd w:fill="F2F2F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6"/>
              </w:rPr>
              <w:t>La Mojarra Stela 1: complete high-resolution images and authoritative open transcription</w:t>
            </w:r>
          </w:p>
        </w:tc>
        <w:tc>
          <w:tcPr>
            <w:tcW w:type="dxa" w:w="3437"/>
            <w:shd w:fill="F2F2F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sz w:val="16"/>
              </w:rPr>
              <w:t>partially_verified</w:t>
            </w:r>
          </w:p>
        </w:tc>
        <w:tc>
          <w:tcPr>
            <w:tcW w:type="dxa" w:w="3437"/>
            <w:shd w:fill="F2F2F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sz w:val="16"/>
              </w:rPr>
              <w:t>Locate museum master images, full transcription/edition, stable identifiers, and item-level license.</w:t>
            </w:r>
          </w:p>
        </w:tc>
      </w:tr>
      <w:tr>
        <w:tc>
          <w:tcPr>
            <w:tcW w:type="dxa" w:w="3437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6"/>
              </w:rPr>
              <w:t>San José Mogote Monument 3</w:t>
            </w:r>
          </w:p>
        </w:tc>
        <w:tc>
          <w:tcPr>
            <w:tcW w:type="dxa" w:w="3437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sz w:val="16"/>
              </w:rPr>
              <w:t>unverified_candidate</w:t>
            </w:r>
          </w:p>
        </w:tc>
        <w:tc>
          <w:tcPr>
            <w:tcW w:type="dxa" w:w="3437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sz w:val="16"/>
              </w:rPr>
              <w:t>Confirm the nature of the script, date, and a concrete transmission/genre relation to early Maya writing using an official catalogue or peer-reviewed source.</w:t>
            </w:r>
          </w:p>
        </w:tc>
      </w:tr>
      <w:tr>
        <w:tc>
          <w:tcPr>
            <w:tcW w:type="dxa" w:w="3437"/>
            <w:shd w:fill="F2F2F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6"/>
              </w:rPr>
              <w:t>Maya Vase Database / Justin Kerr rollout photographs: stable access and reuse terms</w:t>
            </w:r>
          </w:p>
        </w:tc>
        <w:tc>
          <w:tcPr>
            <w:tcW w:type="dxa" w:w="3437"/>
            <w:shd w:fill="F2F2F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sz w:val="16"/>
              </w:rPr>
              <w:t>rights_unverified</w:t>
            </w:r>
          </w:p>
        </w:tc>
        <w:tc>
          <w:tcPr>
            <w:tcW w:type="dxa" w:w="3437"/>
            <w:shd w:fill="F2F2F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sz w:val="16"/>
              </w:rPr>
              <w:t>Locate the authoritative database endpoint, photographer rights statement, item-level vessel IDs, and any API/bulk access.</w:t>
            </w:r>
          </w:p>
        </w:tc>
      </w:tr>
      <w:tr>
        <w:tc>
          <w:tcPr>
            <w:tcW w:type="dxa" w:w="3437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6"/>
              </w:rPr>
              <w:t>Russian-language legal access to Knorozov and early Maya decipherment publications</w:t>
            </w:r>
          </w:p>
        </w:tc>
        <w:tc>
          <w:tcPr>
            <w:tcW w:type="dxa" w:w="3437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sz w:val="16"/>
              </w:rPr>
              <w:t>not_found</w:t>
            </w:r>
          </w:p>
        </w:tc>
        <w:tc>
          <w:tcPr>
            <w:tcW w:type="dxa" w:w="3437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sz w:val="16"/>
              </w:rPr>
              <w:t>Search Russian institutional repositories, RSL/National Electronic Library, journal archives, and public-domain term status for specific editions.</w:t>
            </w:r>
          </w:p>
        </w:tc>
      </w:tr>
      <w:tr>
        <w:tc>
          <w:tcPr>
            <w:tcW w:type="dxa" w:w="3437"/>
            <w:shd w:fill="F2F2F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6"/>
              </w:rPr>
              <w:t>Books of Chilam Balam: item-level manuscript witnesses and original-language facsimiles</w:t>
            </w:r>
          </w:p>
        </w:tc>
        <w:tc>
          <w:tcPr>
            <w:tcW w:type="dxa" w:w="3437"/>
            <w:shd w:fill="F2F2F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sz w:val="16"/>
              </w:rPr>
              <w:t>partially_verified</w:t>
            </w:r>
          </w:p>
        </w:tc>
        <w:tc>
          <w:tcPr>
            <w:tcW w:type="dxa" w:w="3437"/>
            <w:shd w:fill="F2F2F2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sz w:val="16"/>
              </w:rPr>
              <w:t>Map Chumayel and other named manuscripts to current custodians, shelfmarks, digital facsimiles, and item-level rights.</w:t>
            </w:r>
          </w:p>
        </w:tc>
      </w:tr>
      <w:tr>
        <w:tc>
          <w:tcPr>
            <w:tcW w:type="dxa" w:w="3437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6"/>
              </w:rPr>
              <w:t>Modern openly licensed critical edition of the Popol Vuh in K’iche’</w:t>
            </w:r>
          </w:p>
        </w:tc>
        <w:tc>
          <w:tcPr>
            <w:tcW w:type="dxa" w:w="3437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sz w:val="16"/>
              </w:rPr>
              <w:t>not_found</w:t>
            </w:r>
          </w:p>
        </w:tc>
        <w:tc>
          <w:tcPr>
            <w:tcW w:type="dxa" w:w="3437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Liberation Sans" w:hAnsi="Liberation Sans" w:eastAsia="Liberation Sans"/>
                <w:sz w:val="16"/>
              </w:rPr>
              <w:t>Find an OA scholarly edition with explicit license, or prepare a ToS transcription/translation directly from the Newberry witness.</w:t>
            </w:r>
          </w:p>
        </w:tc>
      </w:tr>
    </w:tbl>
    <w:p/>
    <w:p>
      <w:pPr>
        <w:pStyle w:val="Heading2"/>
        <w:keepNext/>
        <w:spacing w:before="160" w:after="100"/>
      </w:pPr>
      <w:r>
        <w:rPr>
          <w:rFonts w:ascii="Liberation Sans" w:hAnsi="Liberation Sans" w:eastAsia="Liberation Sans"/>
          <w:b/>
          <w:color w:val="2F5597"/>
          <w:sz w:val="24"/>
        </w:rPr>
        <w:t>Targeted follow-up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</w:rPr>
        <w:t>Запросить у San Bartolo–Xultun project fragment inventory, repository/custodian, high-resolution masters и item-level image terms.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</w:rPr>
        <w:t>Связать El Palmar Stela 46 с официальным INAH/project archive record и отдельными правами на field photographs/drawings.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</w:rPr>
        <w:t>Разрешить точный endpoint ULB Bonn Text and Image Archive, включая API/export и provenance каждого компонента.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</w:rPr>
        <w:t>Получить от MHD официальную database/export license с отдельным охватом транскрипций, кодов, изображений и bulk redistribution.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</w:rPr>
        <w:t>Найти полный официальный IIIF/PDF Madrid Codex и проверить права Museo de América на digital masters.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</w:rPr>
        <w:t>Развернуть manuscript-by-manuscript карту Books of Chilam Balam: custodians, shelfmarks, facsimiles, languages, rights.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</w:rPr>
        <w:t>Провести отдельный русскоязычный поиск легальных изданий Кнорозова через РГБ, НЭБ, eLIBRARY/журнальные архивы и издателей.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</w:rPr>
        <w:t>Установить текущий официальный статус Maya Vase Database/Justin Kerr rollout images, устойчивые vessel IDs и разрешение на повторное использование.</w:t>
      </w:r>
    </w:p>
    <w:p>
      <w:pPr>
        <w:pStyle w:val="Heading2"/>
        <w:keepNext/>
        <w:spacing w:before="160" w:after="100"/>
      </w:pPr>
      <w:r>
        <w:rPr>
          <w:rFonts w:ascii="Liberation Sans" w:hAnsi="Liberation Sans" w:eastAsia="Liberation Sans"/>
          <w:b/>
          <w:color w:val="2F5597"/>
          <w:sz w:val="24"/>
        </w:rPr>
        <w:t>Неподтверждённые кандидаты</w:t>
      </w:r>
    </w:p>
    <w:p>
      <w:pPr>
        <w:spacing w:after="100" w:line="259" w:lineRule="auto"/>
      </w:pPr>
      <w:r>
        <w:rPr>
          <w:rFonts w:ascii="Liberation Sans" w:hAnsi="Liberation Sans" w:eastAsia="Liberation Sans"/>
          <w:color w:val="263238"/>
        </w:rPr>
        <w:t>Chiapa de Corzo Stela 2 и San José Mogote Monument 3 оставлены как unverified_candidate. Их потенциальная роль в раннем мезоамериканском письме известна из навигационных упоминаний, но в этом пакете не найдено достаточно сильного item-level подтверждения и конкретной документированной связи, чтобы включать их в основной registry.</w:t>
      </w:r>
    </w:p>
    <w:p>
      <w:pPr>
        <w:pStyle w:val="Heading1"/>
        <w:keepNext/>
        <w:spacing w:before="240" w:after="100"/>
      </w:pPr>
      <w:r>
        <w:rPr>
          <w:rFonts w:ascii="Liberation Sans" w:hAnsi="Liberation Sans" w:eastAsia="Liberation Sans"/>
          <w:b/>
          <w:color w:val="17365D"/>
          <w:sz w:val="32"/>
        </w:rPr>
        <w:t>7. Итоговая оценка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EAF2F8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8"/>
              </w:rPr>
              <w:t>Охват ядра</w:t>
            </w:r>
          </w:p>
        </w:tc>
        <w:tc>
          <w:tcPr>
            <w:tcW w:type="dxa" w:w="6917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8"/>
              </w:rPr>
              <w:t>Хороший–сильный. San Bartolo, El Palmar, CMHI, ClassicMayan/MHD, codices и несколько museum/object routes получили конкретные входы.</w:t>
            </w:r>
          </w:p>
        </w:tc>
      </w:tr>
      <w:tr>
        <w:tc>
          <w:tcPr>
            <w:tcW w:type="dxa" w:w="2268"/>
            <w:shd w:fill="EAF2F8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8"/>
              </w:rPr>
              <w:t>Доступ к оригиналам</w:t>
            </w:r>
          </w:p>
        </w:tc>
        <w:tc>
          <w:tcPr>
            <w:tcW w:type="dxa" w:w="6917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8"/>
              </w:rPr>
              <w:t>Сильный для отдельных фрагментов, кодексов и CC0 музейных объектов; более неравномерный для распределённого монументального корпуса и раскопочных архивов.</w:t>
            </w:r>
          </w:p>
        </w:tc>
      </w:tr>
      <w:tr>
        <w:tc>
          <w:tcPr>
            <w:tcW w:type="dxa" w:w="2268"/>
            <w:shd w:fill="EAF2F8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8"/>
              </w:rPr>
              <w:t>Переводы и чтения</w:t>
            </w:r>
          </w:p>
        </w:tc>
        <w:tc>
          <w:tcPr>
            <w:tcW w:type="dxa" w:w="6917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8"/>
              </w:rPr>
              <w:t>Широкий спектр от PD-изданий до современных защищённых работ. Наиболее современные материалы нередко read-only, library или purchase.</w:t>
            </w:r>
          </w:p>
        </w:tc>
      </w:tr>
      <w:tr>
        <w:tc>
          <w:tcPr>
            <w:tcW w:type="dxa" w:w="2268"/>
            <w:shd w:fill="EAF2F8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8"/>
              </w:rPr>
              <w:t>Наиболее свободный слой</w:t>
            </w:r>
          </w:p>
        </w:tc>
        <w:tc>
          <w:tcPr>
            <w:tcW w:type="dxa" w:w="6917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8"/>
              </w:rPr>
              <w:t>CC0 museum objects/APIs; ClassicMayan project-owned CC BY; Newberry No Copyright – United States; Project Gutenberg; Dresden PDM; CC BY-NC articles for San Bartolo/El Palmar.</w:t>
            </w:r>
          </w:p>
        </w:tc>
      </w:tr>
      <w:tr>
        <w:tc>
          <w:tcPr>
            <w:tcW w:type="dxa" w:w="2268"/>
            <w:shd w:fill="EAF2F8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b/>
                <w:color w:val="17365D"/>
                <w:sz w:val="18"/>
              </w:rPr>
              <w:t>Главные ограничения</w:t>
            </w:r>
          </w:p>
        </w:tc>
        <w:tc>
          <w:tcPr>
            <w:tcW w:type="dxa" w:w="6917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8"/>
              </w:rPr>
              <w:t>Современные фотографии/прорисовки, critical editions, database licenses, mixed third-party rights, lack of item-level facsimiles и юрисдикционные различия.</w:t>
            </w:r>
          </w:p>
        </w:tc>
      </w:tr>
      <w:tr>
        <w:tc>
          <w:tcPr>
            <w:tcW w:type="dxa" w:w="2268"/>
            <w:shd w:fill="C6EFCE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b/>
                <w:color w:val="006100"/>
                <w:sz w:val="18"/>
              </w:rPr>
              <w:t>Передача в Codex</w:t>
            </w:r>
          </w:p>
        </w:tc>
        <w:tc>
          <w:tcPr>
            <w:tcW w:type="dxa" w:w="6917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Liberation Sans" w:hAnsi="Liberation Sans" w:eastAsia="Liberation Sans"/>
                <w:sz w:val="18"/>
              </w:rPr>
              <w:t>Да. XLSX нормализован по заданным колонкам, имеет registry + gaps, уникальные record_id и не содержит служебного индекса. Rights tags должны импортироваться вместе с scope, coverage и notes.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C6EFCE"/>
            <w:tcBorders>
              <w:top w:val="single" w:sz="8" w:color="C28E2C"/>
              <w:left w:val="single" w:sz="8" w:color="C28E2C"/>
              <w:bottom w:val="single" w:sz="8" w:color="C28E2C"/>
              <w:right w:val="single" w:sz="8" w:color="C28E2C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006100"/>
                <w:sz w:val="21"/>
              </w:rPr>
              <w:t>Вердикт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63238"/>
                <w:sz w:val="20"/>
              </w:rPr>
              <w:t>Пакет пригоден для передачи Codex как исследовательская карта доступа и прав. Он закрывает центральное ядро и прямую текстовую орбиту, не подменяя пробелы общими порталами и не объявляя свободными современные переводы, фотографии или базы только из-за древности исходного материала.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Liberation Sans" w:hAnsi="Liberation Sans" w:eastAsia="Liberation Sans"/>
          <w:b/>
          <w:color w:val="2F5597"/>
          <w:sz w:val="24"/>
        </w:rPr>
        <w:t>Ключевые правовые опоры</w:t>
      </w:r>
    </w:p>
    <w:p>
      <w:pPr>
        <w:spacing w:after="40"/>
      </w:pPr>
      <w:hyperlink r:id="rId32">
        <w:r>
          <w:rPr>
            <w:color w:val="2F5597"/>
            <w:u w:val="single"/>
          </w:rPr>
          <w:t>Peabody rights and reproductions</w:t>
        </w:r>
      </w:hyperlink>
      <w:r>
        <w:rPr>
          <w:rFonts w:ascii="Liberation Sans" w:hAnsi="Liberation Sans" w:eastAsia="Liberation Sans"/>
          <w:color w:val="5B6573"/>
          <w:sz w:val="17"/>
        </w:rPr>
        <w:t xml:space="preserve"> — item/project-level evidence used in the registry.</w:t>
      </w:r>
    </w:p>
    <w:p>
      <w:pPr>
        <w:spacing w:after="40"/>
      </w:pPr>
      <w:hyperlink r:id="rId33">
        <w:r>
          <w:rPr>
            <w:color w:val="2F5597"/>
            <w:u w:val="single"/>
          </w:rPr>
          <w:t>ClassicMayan Open Science policy</w:t>
        </w:r>
      </w:hyperlink>
      <w:r>
        <w:rPr>
          <w:rFonts w:ascii="Liberation Sans" w:hAnsi="Liberation Sans" w:eastAsia="Liberation Sans"/>
          <w:color w:val="5B6573"/>
          <w:sz w:val="17"/>
        </w:rPr>
        <w:t xml:space="preserve"> — item/project-level evidence used in the registry.</w:t>
      </w:r>
    </w:p>
    <w:p>
      <w:pPr>
        <w:spacing w:after="40"/>
      </w:pPr>
      <w:hyperlink r:id="rId30">
        <w:r>
          <w:rPr>
            <w:color w:val="2F5597"/>
            <w:u w:val="single"/>
          </w:rPr>
          <w:t>The Met Open Access</w:t>
        </w:r>
      </w:hyperlink>
      <w:r>
        <w:rPr>
          <w:rFonts w:ascii="Liberation Sans" w:hAnsi="Liberation Sans" w:eastAsia="Liberation Sans"/>
          <w:color w:val="5B6573"/>
          <w:sz w:val="17"/>
        </w:rPr>
        <w:t xml:space="preserve"> — item/project-level evidence used in the registry.</w:t>
      </w:r>
    </w:p>
    <w:p>
      <w:pPr>
        <w:spacing w:after="40"/>
      </w:pPr>
      <w:hyperlink r:id="rId31">
        <w:r>
          <w:rPr>
            <w:color w:val="2F5597"/>
            <w:u w:val="single"/>
          </w:rPr>
          <w:t>Art Institute Open Access images</w:t>
        </w:r>
      </w:hyperlink>
      <w:r>
        <w:rPr>
          <w:rFonts w:ascii="Liberation Sans" w:hAnsi="Liberation Sans" w:eastAsia="Liberation Sans"/>
          <w:color w:val="5B6573"/>
          <w:sz w:val="17"/>
        </w:rPr>
        <w:t xml:space="preserve"> — item/project-level evidence used in the registry.</w:t>
      </w:r>
    </w:p>
    <w:p>
      <w:pPr>
        <w:spacing w:after="40"/>
      </w:pPr>
      <w:hyperlink r:id="rId34">
        <w:r>
          <w:rPr>
            <w:color w:val="2F5597"/>
            <w:u w:val="single"/>
          </w:rPr>
          <w:t>BnF/Gallica reuse conditions</w:t>
        </w:r>
      </w:hyperlink>
      <w:r>
        <w:rPr>
          <w:rFonts w:ascii="Liberation Sans" w:hAnsi="Liberation Sans" w:eastAsia="Liberation Sans"/>
          <w:color w:val="5B6573"/>
          <w:sz w:val="17"/>
        </w:rPr>
        <w:t xml:space="preserve"> — item/project-level evidence used in the registry.</w:t>
      </w:r>
    </w:p>
    <w:p>
      <w:pPr>
        <w:spacing w:after="40"/>
      </w:pPr>
      <w:hyperlink r:id="rId35">
        <w:r>
          <w:rPr>
            <w:color w:val="2F5597"/>
            <w:u w:val="single"/>
          </w:rPr>
          <w:t>Project Gutenberg permission policy</w:t>
        </w:r>
      </w:hyperlink>
      <w:r>
        <w:rPr>
          <w:rFonts w:ascii="Liberation Sans" w:hAnsi="Liberation Sans" w:eastAsia="Liberation Sans"/>
          <w:color w:val="5B6573"/>
          <w:sz w:val="17"/>
        </w:rPr>
        <w:t xml:space="preserve"> — item/project-level evidence used in the registry.</w:t>
      </w:r>
    </w:p>
    <w:p>
      <w:pPr>
        <w:spacing w:after="40"/>
      </w:pPr>
      <w:hyperlink r:id="rId36">
        <w:r>
          <w:rPr>
            <w:color w:val="2F5597"/>
            <w:u w:val="single"/>
          </w:rPr>
          <w:t>Smithsonian Open Access</w:t>
        </w:r>
      </w:hyperlink>
      <w:r>
        <w:rPr>
          <w:rFonts w:ascii="Liberation Sans" w:hAnsi="Liberation Sans" w:eastAsia="Liberation Sans"/>
          <w:color w:val="5B6573"/>
          <w:sz w:val="17"/>
        </w:rPr>
        <w:t xml:space="preserve"> — item/project-level evidence used in the registry.</w:t>
      </w:r>
    </w:p>
    <w:p>
      <w:pPr>
        <w:spacing w:after="40"/>
      </w:pPr>
      <w:hyperlink r:id="rId27">
        <w:r>
          <w:rPr>
            <w:color w:val="2F5597"/>
            <w:u w:val="single"/>
          </w:rPr>
          <w:t>Newberry Popol Vuh item</w:t>
        </w:r>
      </w:hyperlink>
      <w:r>
        <w:rPr>
          <w:rFonts w:ascii="Liberation Sans" w:hAnsi="Liberation Sans" w:eastAsia="Liberation Sans"/>
          <w:color w:val="5B6573"/>
          <w:sz w:val="17"/>
        </w:rPr>
        <w:t xml:space="preserve"> — item/project-level evidence used in the registry.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907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color w:val="5B6573"/>
        <w:sz w:val="16"/>
      </w:rPr>
      <w:t xml:space="preserve">A46 · Ранние майя · проверено 2026-09-04 · </w:t>
    </w:r>
    <w:r>
      <w:fldChar w:fldCharType="begin"/>
      <w:instrText xml:space="preserve">PAGE</w:instrText>
      <w:fldChar w:fldCharType="end"/>
    </w:r>
    <w:r>
      <w:rPr>
        <w:rFonts w:ascii="Liberation Sans" w:hAnsi="Liberation Sans" w:eastAsia="Liberation Sans"/>
        <w:color w:val="5B6573"/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 w:eastAsia="Liberation Sans"/>
        <w:color w:val="5B6573"/>
        <w:sz w:val="17"/>
      </w:rPr>
      <w:t>ToS · Древо Софии · Corpus &amp; Rights Registry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 w:eastAsia="Liberation Sans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 w:eastAsia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 w:eastAsia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 w:eastAsia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mc.ncbi.nlm.nih.gov/articles/PMC9007507/" TargetMode="External"/><Relationship Id="rId12" Type="http://schemas.openxmlformats.org/officeDocument/2006/relationships/hyperlink" Target="https://doi.org/10.1126/sciadv.abl9290" TargetMode="External"/><Relationship Id="rId13" Type="http://schemas.openxmlformats.org/officeDocument/2006/relationships/hyperlink" Target="https://www.cambridge.org/core/journals/ancient-mesoamerica/article/emergence-of-kingship-and-early-long-counts-in-the-maya-kingdom-of-el-palmar-campeche-mexico/72DECC08F19B6FC30B39065C1F26F7A5" TargetMode="External"/><Relationship Id="rId14" Type="http://schemas.openxmlformats.org/officeDocument/2006/relationships/hyperlink" Target="https://doi.org/10.1017/S095653612510020X" TargetMode="External"/><Relationship Id="rId15" Type="http://schemas.openxmlformats.org/officeDocument/2006/relationships/hyperlink" Target="https://peabody.harvard.edu/sites-online" TargetMode="External"/><Relationship Id="rId16" Type="http://schemas.openxmlformats.org/officeDocument/2006/relationships/hyperlink" Target="https://peabody.harvard.edu/publication-series/corpus-mayan-hieroglyphic-inscriptions" TargetMode="External"/><Relationship Id="rId17" Type="http://schemas.openxmlformats.org/officeDocument/2006/relationships/hyperlink" Target="https://classicmayan.org/portal" TargetMode="External"/><Relationship Id="rId18" Type="http://schemas.openxmlformats.org/officeDocument/2006/relationships/hyperlink" Target="https://classicmayan.org/signcatalog" TargetMode="External"/><Relationship Id="rId19" Type="http://schemas.openxmlformats.org/officeDocument/2006/relationships/hyperlink" Target="https://classicmayan.org/portal/doc/52" TargetMode="External"/><Relationship Id="rId20" Type="http://schemas.openxmlformats.org/officeDocument/2006/relationships/hyperlink" Target="https://www.mayadatabase.org/" TargetMode="External"/><Relationship Id="rId21" Type="http://schemas.openxmlformats.org/officeDocument/2006/relationships/hyperlink" Target="https://digital.slub-dresden.de/werkansicht/dlf/2967/1" TargetMode="External"/><Relationship Id="rId22" Type="http://schemas.openxmlformats.org/officeDocument/2006/relationships/hyperlink" Target="https://www.deutsche-digitale-bibliothek.de/item/RRSYEKWCYOTFWBRR2Y2VVOJ36DADB3OQ" TargetMode="External"/><Relationship Id="rId23" Type="http://schemas.openxmlformats.org/officeDocument/2006/relationships/hyperlink" Target="https://gallica.bnf.fr/ark:/12148/btv1b8446947j" TargetMode="External"/><Relationship Id="rId24" Type="http://schemas.openxmlformats.org/officeDocument/2006/relationships/hyperlink" Target="https://gallica.bnf.fr/iiif/ark:/12148/btv1b8446947j/manifest.json" TargetMode="External"/><Relationship Id="rId25" Type="http://schemas.openxmlformats.org/officeDocument/2006/relationships/hyperlink" Target="https://www.cultura.gob.es/museodeamerica/coleccion/america-prehispanica/c-dice-trocortesiano.html" TargetMode="External"/><Relationship Id="rId26" Type="http://schemas.openxmlformats.org/officeDocument/2006/relationships/hyperlink" Target="https://codicemayademexico.inah.gob.mx/" TargetMode="External"/><Relationship Id="rId27" Type="http://schemas.openxmlformats.org/officeDocument/2006/relationships/hyperlink" Target="https://collections.newberry.org/archive/-2KXJ8ZSQGH5XT.html" TargetMode="External"/><Relationship Id="rId28" Type="http://schemas.openxmlformats.org/officeDocument/2006/relationships/hyperlink" Target="https://www.mesoweb.com/publications/Christenson/index.html" TargetMode="External"/><Relationship Id="rId29" Type="http://schemas.openxmlformats.org/officeDocument/2006/relationships/hyperlink" Target="https://www.gutenberg.org/ebooks/56550" TargetMode="External"/><Relationship Id="rId30" Type="http://schemas.openxmlformats.org/officeDocument/2006/relationships/hyperlink" Target="https://www.metmuseum.org/hubs/open-access" TargetMode="External"/><Relationship Id="rId31" Type="http://schemas.openxmlformats.org/officeDocument/2006/relationships/hyperlink" Target="https://www.artic.edu/open-access/open-access-images" TargetMode="External"/><Relationship Id="rId32" Type="http://schemas.openxmlformats.org/officeDocument/2006/relationships/hyperlink" Target="https://peabody.harvard.edu/rights-and-reproductions" TargetMode="External"/><Relationship Id="rId33" Type="http://schemas.openxmlformats.org/officeDocument/2006/relationships/hyperlink" Target="https://classicmayan.org/portal/doc/162" TargetMode="External"/><Relationship Id="rId34" Type="http://schemas.openxmlformats.org/officeDocument/2006/relationships/hyperlink" Target="https://www.bnf.fr/en/reproduction-documents" TargetMode="External"/><Relationship Id="rId35" Type="http://schemas.openxmlformats.org/officeDocument/2006/relationships/hyperlink" Target="https://www.gutenberg.org/policy/permission.html" TargetMode="External"/><Relationship Id="rId36" Type="http://schemas.openxmlformats.org/officeDocument/2006/relationships/hyperlink" Target="https://www.si.edu/openacc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