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T2-27 — Латинская мистика</w:t>
        <w:br/>
        <w:t>и философская теология</w:t>
      </w:r>
    </w:p>
    <w:p>
      <w:pPr>
        <w:pStyle w:val="SmallNote"/>
      </w:pPr>
      <w:r>
        <w:t>Исследовательский отчёт  •  4 сентября 2026 г.</w:t>
      </w:r>
    </w:p>
    <w:p>
      <w:pPr>
        <w:pStyle w:val="Heading1"/>
      </w:pPr>
      <w:r>
        <w:t>1. Паспорт</w:t>
      </w:r>
    </w:p>
    <w:p>
      <w:r>
        <w:t>Мастер-строка: T2-27, Таблица II. Исходный статус B и уверенность 4/5 сохранены. Историческое ядро — XII–XIV вв.; письменная фиксация и передача — XII–XV вв.; канонизация и комментарий — XIII–XV вв. Более ранние источники и более поздние произведения включены как связанные слои, а не как изменение границ строки.</w:t>
      </w:r>
    </w:p>
    <w:p>
      <w:pPr>
        <w:pStyle w:val="SmallNote"/>
      </w:pPr>
      <w:r>
        <w:t>Исходный документ: «ToS Deep Research_ T2-27 — Латинская мистика и философская теология(1).docx». Основание инвентаризации — паспорт, разделы о корпусах и артефактах, входящих и исходящих трансмиссиях, источниковый регистр этого DR. Его исходный текст не редактировался. Графовые наброски и будущие задачи внутри DR не выполнялись.</w:t>
      </w:r>
    </w:p>
    <w:p>
      <w:r>
        <w:t>Ядром считались сочинения Гуго (Хью) и Ришара Сен-Викторских, Бонавентуры и Мейстера Экхарта: комментарии, созерцательные трактаты, школьные вопросы, латинские и немецкие проповеди. Материальная передача учитывалась отдельно от авторского корпуса: конкретный кодекс или эксцерпт не считается полным собранием произведений.</w:t>
      </w:r>
    </w:p>
    <w:p>
      <w:r>
        <w:t>Поиск вёлся по латинским названиям, английским, немецким, нидерландским и русским формам; использовались также французские и испанские каталожные описания. Найденные языковые слои включают латынь, греческий, средневерхненемецкий, средненидерландский, среднеанглийский и современные переводы. Искомые объекты — произведения и собрания, конкретные издания и переводы, рукописи, цифровые тексты и факсимиле, IIIF и экспорт текста.</w:t>
      </w:r>
    </w:p>
    <w:p>
      <w:r>
        <w:t>Для доступа использованы официальные издательские карточки Brepols, Kohlhammer, Franciscan Institute Publications, Paulist Press, PIMS и Marquette; университетские и национальные библиотеки; HathiTrust, институциональные загрузки Internet Archive, Google Books, DBNL, CCEL и академические электронные издания. Библиографическая идентификация опиралась прежде всего на издателей и библиотеки. Для прав — на уведомления конкретных объектов, применимые условия проекта и колофоны PDF, а не на поисковые сниппеты.</w:t>
      </w:r>
    </w:p>
    <w:p>
      <w:r>
        <w:t>Результат: 79 записей способов доступа и 30 конкретных пробелов. Это не 79 произведений. Покрыты как минимум 21 основной текстовый комплекс: четыре центральных авторских корпуса и семнадцать ранних, родственных или рецепционных комплексов. Коллективные викторинские тома учтены как расширение связанных корпусов, без повторного подсчёта входящих текстов.</w:t>
      </w:r>
    </w:p>
    <w:p>
      <w:pPr>
        <w:pStyle w:val="SmallNote"/>
      </w:pPr>
      <w:r>
        <w:t>В отчёте R001 означает T2-27-R001, G01 — T2-27-G01. Ссылки R… ведут к источникам соответствующих записей; полные параметры доступа, проверки и прав находятся в XLSX. Для кандидата Schwester Katrei не получено достаточного независимого подтверждения после слабой навигационной подсказки: он оставлен как unverified_candidate в G23. Wikipedia не используется в итоговых ссылках и доказательствах.</w:t>
      </w:r>
    </w:p>
    <w:p>
      <w:pPr>
        <w:pStyle w:val="Heading1"/>
      </w:pPr>
      <w:r>
        <w:t>2. Охват корпуса</w:t>
      </w:r>
    </w:p>
    <w:p>
      <w:pPr>
        <w:pStyle w:val="Heading2"/>
      </w:pPr>
      <w:r>
        <w:t>От исходной карты к расширенному реестру</w:t>
      </w:r>
    </w:p>
    <w:p>
      <w:r>
        <w:t>Из DR сохранены все главные ориентиры: Super Ierarchiam Dionisii и сочинения Гуго о ковчеге; De Trinitate и Benjamin Major Ришара; комментарий Бонавентуры к «Сентенциям», Itinerarium, De scientia Christi и Hexaemeron; латинские и немецкие сочинения Экхарта, Reden der Unterscheidung, Von abegescheidenheit и процессуальные документы. Для Nürnberg Cent. IV,40 найдены описание и отдельный, пока блокируемый, вход к факсимиле. Для раннего фрагмента GNM Hs. 18537 пригодный проверенный цифровой вход остался пробелом G01.</w:t>
      </w:r>
    </w:p>
    <w:p>
      <w:pPr>
        <w:pStyle w:val="SourceLink"/>
      </w:pPr>
      <w:r>
        <w:t xml:space="preserve">Источники и записи реестра: </w:t>
      </w:r>
      <w:hyperlink r:id="rId11">
        <w:r>
          <w:rPr>
            <w:color w:val="176578"/>
            <w:u w:val="single"/>
          </w:rPr>
          <w:t>R001</w:t>
        </w:r>
      </w:hyperlink>
      <w:r>
        <w:t xml:space="preserve">  ·  </w:t>
      </w:r>
      <w:hyperlink r:id="rId12">
        <w:r>
          <w:rPr>
            <w:color w:val="176578"/>
            <w:u w:val="single"/>
          </w:rPr>
          <w:t>R002</w:t>
        </w:r>
      </w:hyperlink>
      <w:r>
        <w:t xml:space="preserve">  ·  </w:t>
      </w:r>
      <w:hyperlink r:id="rId13">
        <w:r>
          <w:rPr>
            <w:color w:val="176578"/>
            <w:u w:val="single"/>
          </w:rPr>
          <w:t>R004</w:t>
        </w:r>
      </w:hyperlink>
      <w:r>
        <w:t xml:space="preserve">  ·  </w:t>
      </w:r>
      <w:hyperlink r:id="rId14">
        <w:r>
          <w:rPr>
            <w:color w:val="176578"/>
            <w:u w:val="single"/>
          </w:rPr>
          <w:t>R008</w:t>
        </w:r>
      </w:hyperlink>
      <w:r>
        <w:t xml:space="preserve">  ·  </w:t>
      </w:r>
      <w:hyperlink r:id="rId15">
        <w:r>
          <w:rPr>
            <w:color w:val="176578"/>
            <w:u w:val="single"/>
          </w:rPr>
          <w:t>R013</w:t>
        </w:r>
      </w:hyperlink>
      <w:r>
        <w:t xml:space="preserve">  ·  </w:t>
      </w:r>
      <w:hyperlink r:id="rId16">
        <w:r>
          <w:rPr>
            <w:color w:val="176578"/>
            <w:u w:val="single"/>
          </w:rPr>
          <w:t>R014</w:t>
        </w:r>
      </w:hyperlink>
      <w:r>
        <w:t xml:space="preserve">  ·  </w:t>
      </w:r>
      <w:hyperlink r:id="rId17">
        <w:r>
          <w:rPr>
            <w:color w:val="176578"/>
            <w:u w:val="single"/>
          </w:rPr>
          <w:t>R017</w:t>
        </w:r>
      </w:hyperlink>
      <w:r>
        <w:t xml:space="preserve">  ·  </w:t>
      </w:r>
      <w:hyperlink r:id="rId18">
        <w:r>
          <w:rPr>
            <w:color w:val="176578"/>
            <w:u w:val="single"/>
          </w:rPr>
          <w:t>R019</w:t>
        </w:r>
      </w:hyperlink>
      <w:r>
        <w:t xml:space="preserve">  ·  </w:t>
      </w:r>
      <w:hyperlink r:id="rId19">
        <w:r>
          <w:rPr>
            <w:color w:val="176578"/>
            <w:u w:val="single"/>
          </w:rPr>
          <w:t>R026</w:t>
        </w:r>
      </w:hyperlink>
      <w:r>
        <w:t xml:space="preserve">  ·  </w:t>
      </w:r>
      <w:hyperlink r:id="rId20">
        <w:r>
          <w:rPr>
            <w:color w:val="176578"/>
            <w:u w:val="single"/>
          </w:rPr>
          <w:t>R028</w:t>
        </w:r>
      </w:hyperlink>
      <w:r>
        <w:t xml:space="preserve">  ·  </w:t>
      </w:r>
      <w:hyperlink r:id="rId21">
        <w:r>
          <w:rPr>
            <w:color w:val="176578"/>
            <w:u w:val="single"/>
          </w:rPr>
          <w:t>R034</w:t>
        </w:r>
      </w:hyperlink>
      <w:r>
        <w:t xml:space="preserve">  ·  </w:t>
      </w:r>
      <w:hyperlink r:id="rId22">
        <w:r>
          <w:rPr>
            <w:color w:val="176578"/>
            <w:u w:val="single"/>
          </w:rPr>
          <w:t>R035</w:t>
        </w:r>
      </w:hyperlink>
    </w:p>
    <w:p>
      <w:r>
        <w:t>Веб-поиск расширил викторинское ядро через De tribus diebus, De vanitate rerum mundanarum, Dialogus de creatione mundi, De oratione dominica и De septem donis Spiritus sancti. Современные антологии добавляют сочинения о любви Гуго, Ришара, Адама, Ахарда и Годфри Сен-Викторских. Benjamin Minor получил отдельный современный переводческий вход. У Бонавентуры добавлены De mysterio Trinitatis, De reductione artium ad theologiam и Breviloquium. Это прямые члены соответствующих корпусов, а не тематическая библиография о «мистике вообще».</w:t>
      </w:r>
    </w:p>
    <w:p>
      <w:pPr>
        <w:pStyle w:val="SourceLink"/>
      </w:pPr>
      <w:r>
        <w:t xml:space="preserve">Источники и записи реестра: </w:t>
      </w:r>
      <w:hyperlink r:id="rId23">
        <w:r>
          <w:rPr>
            <w:color w:val="176578"/>
            <w:u w:val="single"/>
          </w:rPr>
          <w:t>R003</w:t>
        </w:r>
      </w:hyperlink>
      <w:r>
        <w:t xml:space="preserve">  ·  </w:t>
      </w:r>
      <w:hyperlink r:id="rId24">
        <w:r>
          <w:rPr>
            <w:color w:val="176578"/>
            <w:u w:val="single"/>
          </w:rPr>
          <w:t>R005</w:t>
        </w:r>
      </w:hyperlink>
      <w:r>
        <w:t xml:space="preserve">  ·  </w:t>
      </w:r>
      <w:hyperlink r:id="rId25">
        <w:r>
          <w:rPr>
            <w:color w:val="176578"/>
            <w:u w:val="single"/>
          </w:rPr>
          <w:t>R006</w:t>
        </w:r>
      </w:hyperlink>
      <w:r>
        <w:t xml:space="preserve">  ·  </w:t>
      </w:r>
      <w:hyperlink r:id="rId26">
        <w:r>
          <w:rPr>
            <w:color w:val="176578"/>
            <w:u w:val="single"/>
          </w:rPr>
          <w:t>R007</w:t>
        </w:r>
      </w:hyperlink>
      <w:r>
        <w:t xml:space="preserve">  ·  </w:t>
      </w:r>
      <w:hyperlink r:id="rId27">
        <w:r>
          <w:rPr>
            <w:color w:val="176578"/>
            <w:u w:val="single"/>
          </w:rPr>
          <w:t>R015</w:t>
        </w:r>
      </w:hyperlink>
      <w:r>
        <w:t xml:space="preserve">  ·  </w:t>
      </w:r>
      <w:hyperlink r:id="rId28">
        <w:r>
          <w:rPr>
            <w:color w:val="176578"/>
            <w:u w:val="single"/>
          </w:rPr>
          <w:t>R016</w:t>
        </w:r>
      </w:hyperlink>
      <w:r>
        <w:t xml:space="preserve">  ·  </w:t>
      </w:r>
      <w:hyperlink r:id="rId29">
        <w:r>
          <w:rPr>
            <w:color w:val="176578"/>
            <w:u w:val="single"/>
          </w:rPr>
          <w:t>R018</w:t>
        </w:r>
      </w:hyperlink>
      <w:r>
        <w:t xml:space="preserve">  ·  </w:t>
      </w:r>
      <w:hyperlink r:id="rId30">
        <w:r>
          <w:rPr>
            <w:color w:val="176578"/>
            <w:u w:val="single"/>
          </w:rPr>
          <w:t>R037</w:t>
        </w:r>
      </w:hyperlink>
    </w:p>
    <w:p>
      <w:r>
        <w:t>В качестве дополнительного материального свидетеля найден Basel, Universitätsbibliothek, B VI 16 — сборник латинских эксцерптов Экхарта. Таким образом, проверенные каталожные описания охватывают два разных физических кодекса; дополнительные ссылки на тот же Nürnberg не увеличивают число свидетелей. Его 96 листов и базельские эксцерпты не приравниваются к полноте экхартовского корпуса.</w:t>
      </w:r>
    </w:p>
    <w:p>
      <w:pPr>
        <w:pStyle w:val="SourceLink"/>
      </w:pPr>
      <w:r>
        <w:t xml:space="preserve">Источники и записи реестра: </w:t>
      </w:r>
      <w:hyperlink r:id="rId21">
        <w:r>
          <w:rPr>
            <w:color w:val="176578"/>
            <w:u w:val="single"/>
          </w:rPr>
          <w:t>R034</w:t>
        </w:r>
      </w:hyperlink>
      <w:r>
        <w:t xml:space="preserve">  ·  </w:t>
      </w:r>
      <w:hyperlink r:id="rId22">
        <w:r>
          <w:rPr>
            <w:color w:val="176578"/>
            <w:u w:val="single"/>
          </w:rPr>
          <w:t>R035</w:t>
        </w:r>
      </w:hyperlink>
      <w:r>
        <w:t xml:space="preserve">  ·  </w:t>
      </w:r>
      <w:hyperlink r:id="rId31">
        <w:r>
          <w:rPr>
            <w:color w:val="176578"/>
            <w:u w:val="single"/>
          </w:rPr>
          <w:t>R038</w:t>
        </w:r>
      </w:hyperlink>
    </w:p>
    <w:tbl>
      <w:tblPr>
        <w:tblW w:type="auto" w:w="0"/>
        <w:jc w:val="center"/>
        <w:tblLayout w:type="fixed"/>
        <w:tblLook w:firstColumn="1" w:firstRow="1" w:lastColumn="0" w:lastRow="0" w:noHBand="0" w:noVBand="1" w:val="04A0"/>
      </w:tblPr>
      <w:tblGrid>
        <w:gridCol w:w="2381"/>
        <w:gridCol w:w="7257"/>
      </w:tblGrid>
      <w:tr>
        <w:trPr>
          <w:cantSplit/>
          <w:tblHeader/>
        </w:trPr>
        <w:tc>
          <w:tcPr>
            <w:tcW w:type="dxa" w:w="2381"/>
            <w:vAlign w:val="top"/>
            <w:shd w:fill="164E63"/>
            <w:tcMar>
              <w:top w:w="85" w:type="dxa"/>
              <w:left w:w="85" w:type="dxa"/>
              <w:bottom w:w="85" w:type="dxa"/>
              <w:right w:w="85" w:type="dxa"/>
            </w:tcMar>
          </w:tcPr>
          <w:p>
            <w:pPr>
              <w:spacing w:after="60" w:line="245" w:lineRule="auto"/>
            </w:pPr>
            <w:r>
              <w:rPr>
                <w:b/>
                <w:color w:val="FFFFFF"/>
                <w:sz w:val="19"/>
              </w:rPr>
              <w:t>Комплексы</w:t>
            </w:r>
          </w:p>
        </w:tc>
        <w:tc>
          <w:tcPr>
            <w:tcW w:type="dxa" w:w="7257"/>
            <w:vAlign w:val="top"/>
            <w:shd w:fill="164E63"/>
            <w:tcMar>
              <w:top w:w="85" w:type="dxa"/>
              <w:left w:w="85" w:type="dxa"/>
              <w:bottom w:w="85" w:type="dxa"/>
              <w:right w:w="85" w:type="dxa"/>
            </w:tcMar>
          </w:tcPr>
          <w:p>
            <w:pPr>
              <w:spacing w:after="60" w:line="245" w:lineRule="auto"/>
            </w:pPr>
            <w:r>
              <w:rPr>
                <w:b/>
                <w:color w:val="FFFFFF"/>
                <w:sz w:val="19"/>
              </w:rPr>
              <w:t>Что включено и как связано</w:t>
            </w:r>
          </w:p>
        </w:tc>
      </w:tr>
      <w:tr>
        <w:trPr>
          <w:cantSplit/>
        </w:trPr>
        <w:tc>
          <w:tcPr>
            <w:tcW w:type="dxa" w:w="2381"/>
            <w:vAlign w:val="top"/>
            <w:shd w:fill="F0F5F7"/>
            <w:tcMar>
              <w:top w:w="85" w:type="dxa"/>
              <w:left w:w="85" w:type="dxa"/>
              <w:bottom w:w="85" w:type="dxa"/>
              <w:right w:w="85" w:type="dxa"/>
            </w:tcMar>
          </w:tcPr>
          <w:p>
            <w:pPr>
              <w:spacing w:after="60" w:line="245" w:lineRule="auto"/>
            </w:pPr>
            <w:r>
              <w:rPr>
                <w:sz w:val="19"/>
              </w:rPr>
              <w:t>4 центральных корпуса</w:t>
            </w:r>
          </w:p>
        </w:tc>
        <w:tc>
          <w:tcPr>
            <w:tcW w:type="dxa" w:w="7257"/>
            <w:vAlign w:val="top"/>
            <w:shd w:fill="F0F5F7"/>
            <w:tcMar>
              <w:top w:w="85" w:type="dxa"/>
              <w:left w:w="85" w:type="dxa"/>
              <w:bottom w:w="85" w:type="dxa"/>
              <w:right w:w="85" w:type="dxa"/>
            </w:tcMar>
          </w:tcPr>
          <w:p>
            <w:pPr>
              <w:spacing w:after="60" w:line="245" w:lineRule="auto"/>
            </w:pPr>
            <w:r>
              <w:rPr>
                <w:sz w:val="19"/>
              </w:rPr>
              <w:t>Гуго Сен-Викторский; Ришар Сен-Викторский; Бонавентура; Экхарт. Совместные викторинские антологии дополняют, а не удваивают этот блок.</w:t>
            </w:r>
          </w:p>
        </w:tc>
      </w:tr>
      <w:tr>
        <w:trPr>
          <w:cantSplit/>
        </w:trPr>
        <w:tc>
          <w:tcPr>
            <w:tcW w:type="dxa" w:w="2381"/>
            <w:vAlign w:val="top"/>
            <w:shd w:fill="FFFFFF"/>
            <w:tcMar>
              <w:top w:w="85" w:type="dxa"/>
              <w:left w:w="85" w:type="dxa"/>
              <w:bottom w:w="85" w:type="dxa"/>
              <w:right w:w="85" w:type="dxa"/>
            </w:tcMar>
          </w:tcPr>
          <w:p>
            <w:pPr>
              <w:spacing w:after="60" w:line="245" w:lineRule="auto"/>
            </w:pPr>
            <w:r>
              <w:rPr>
                <w:sz w:val="19"/>
              </w:rPr>
              <w:t>5 ранних комплексов</w:t>
            </w:r>
          </w:p>
        </w:tc>
        <w:tc>
          <w:tcPr>
            <w:tcW w:type="dxa" w:w="7257"/>
            <w:vAlign w:val="top"/>
            <w:shd w:fill="FFFFFF"/>
            <w:tcMar>
              <w:top w:w="85" w:type="dxa"/>
              <w:left w:w="85" w:type="dxa"/>
              <w:bottom w:w="85" w:type="dxa"/>
              <w:right w:w="85" w:type="dxa"/>
            </w:tcMar>
          </w:tcPr>
          <w:p>
            <w:pPr>
              <w:spacing w:after="60" w:line="245" w:lineRule="auto"/>
            </w:pPr>
            <w:r>
              <w:rPr>
                <w:sz w:val="19"/>
              </w:rPr>
              <w:t>Псевдо-Дионисий; Эриугена; Августин; Monologion Ансельма; Liber de causis. Входящие тексты, переводы и аргументационные основания, названные DR.</w:t>
            </w:r>
          </w:p>
        </w:tc>
      </w:tr>
      <w:tr>
        <w:trPr>
          <w:cantSplit/>
        </w:trPr>
        <w:tc>
          <w:tcPr>
            <w:tcW w:type="dxa" w:w="2381"/>
            <w:vAlign w:val="top"/>
            <w:shd w:fill="F0F5F7"/>
            <w:tcMar>
              <w:top w:w="85" w:type="dxa"/>
              <w:left w:w="85" w:type="dxa"/>
              <w:bottom w:w="85" w:type="dxa"/>
              <w:right w:w="85" w:type="dxa"/>
            </w:tcMar>
          </w:tcPr>
          <w:p>
            <w:pPr>
              <w:spacing w:after="60" w:line="245" w:lineRule="auto"/>
            </w:pPr>
            <w:r>
              <w:rPr>
                <w:sz w:val="19"/>
              </w:rPr>
              <w:t>3 родственные линии</w:t>
            </w:r>
          </w:p>
        </w:tc>
        <w:tc>
          <w:tcPr>
            <w:tcW w:type="dxa" w:w="7257"/>
            <w:vAlign w:val="top"/>
            <w:shd w:fill="F0F5F7"/>
            <w:tcMar>
              <w:top w:w="85" w:type="dxa"/>
              <w:left w:w="85" w:type="dxa"/>
              <w:bottom w:w="85" w:type="dxa"/>
              <w:right w:w="85" w:type="dxa"/>
            </w:tcMar>
          </w:tcPr>
          <w:p>
            <w:pPr>
              <w:spacing w:after="60" w:line="245" w:lineRule="auto"/>
            </w:pPr>
            <w:r>
              <w:rPr>
                <w:sz w:val="19"/>
              </w:rPr>
              <w:t>Фома Галл; Псевдо-Фома Галл; Гуго Бальма. Конкретные комментарии и трактаты дионисиевской созерцательной традиции.</w:t>
            </w:r>
          </w:p>
        </w:tc>
      </w:tr>
      <w:tr>
        <w:trPr>
          <w:cantSplit/>
        </w:trPr>
        <w:tc>
          <w:tcPr>
            <w:tcW w:type="dxa" w:w="2381"/>
            <w:vAlign w:val="top"/>
            <w:shd w:fill="FFFFFF"/>
            <w:tcMar>
              <w:top w:w="85" w:type="dxa"/>
              <w:left w:w="85" w:type="dxa"/>
              <w:bottom w:w="85" w:type="dxa"/>
              <w:right w:w="85" w:type="dxa"/>
            </w:tcMar>
          </w:tcPr>
          <w:p>
            <w:pPr>
              <w:spacing w:after="60" w:line="245" w:lineRule="auto"/>
            </w:pPr>
            <w:r>
              <w:rPr>
                <w:sz w:val="19"/>
              </w:rPr>
              <w:t>3 народноязычных корпуса</w:t>
            </w:r>
          </w:p>
        </w:tc>
        <w:tc>
          <w:tcPr>
            <w:tcW w:type="dxa" w:w="7257"/>
            <w:vAlign w:val="top"/>
            <w:shd w:fill="FFFFFF"/>
            <w:tcMar>
              <w:top w:w="85" w:type="dxa"/>
              <w:left w:w="85" w:type="dxa"/>
              <w:bottom w:w="85" w:type="dxa"/>
              <w:right w:w="85" w:type="dxa"/>
            </w:tcMar>
          </w:tcPr>
          <w:p>
            <w:pPr>
              <w:spacing w:after="60" w:line="245" w:lineRule="auto"/>
            </w:pPr>
            <w:r>
              <w:rPr>
                <w:sz w:val="19"/>
              </w:rPr>
              <w:t>Сузо; Таулер; Рюйсбрук. Продолжение или родственная передача, без предположения единой доктрины и всеобщего ученичества у Экхарта.</w:t>
            </w:r>
          </w:p>
        </w:tc>
      </w:tr>
      <w:tr>
        <w:trPr>
          <w:cantSplit/>
        </w:trPr>
        <w:tc>
          <w:tcPr>
            <w:tcW w:type="dxa" w:w="2381"/>
            <w:vAlign w:val="top"/>
            <w:shd w:fill="F0F5F7"/>
            <w:tcMar>
              <w:top w:w="85" w:type="dxa"/>
              <w:left w:w="85" w:type="dxa"/>
              <w:bottom w:w="85" w:type="dxa"/>
              <w:right w:w="85" w:type="dxa"/>
            </w:tcMar>
          </w:tcPr>
          <w:p>
            <w:pPr>
              <w:spacing w:after="60" w:line="245" w:lineRule="auto"/>
            </w:pPr>
            <w:r>
              <w:rPr>
                <w:sz w:val="19"/>
              </w:rPr>
              <w:t>6 рецепционных комплексов</w:t>
            </w:r>
          </w:p>
        </w:tc>
        <w:tc>
          <w:tcPr>
            <w:tcW w:type="dxa" w:w="7257"/>
            <w:vAlign w:val="top"/>
            <w:shd w:fill="F0F5F7"/>
            <w:tcMar>
              <w:top w:w="85" w:type="dxa"/>
              <w:left w:w="85" w:type="dxa"/>
              <w:bottom w:w="85" w:type="dxa"/>
              <w:right w:w="85" w:type="dxa"/>
            </w:tcMar>
          </w:tcPr>
          <w:p>
            <w:pPr>
              <w:spacing w:after="60" w:line="245" w:lineRule="auto"/>
            </w:pPr>
            <w:r>
              <w:rPr>
                <w:sz w:val="19"/>
              </w:rPr>
              <w:t>Кузанский; Венк; Дионисий Картузианец; Cloud / Deonise; Theologia Germanica; Жерсон. Комментарий, полемика, перевод и сохранение.</w:t>
            </w:r>
          </w:p>
        </w:tc>
      </w:tr>
    </w:tbl>
    <w:p>
      <w:pPr>
        <w:spacing w:after="0"/>
      </w:pPr>
    </w:p>
    <w:p>
      <w:pPr>
        <w:pStyle w:val="Heading2"/>
      </w:pPr>
      <w:r>
        <w:t>Поиск назад: источники и входящие передачи</w:t>
      </w:r>
    </w:p>
    <w:p>
      <w:r>
        <w:t>Дионисиевский корпус представлен тремя переводами Паркера, парой Divine Names / Mystical Theology в переводе Ролта, современным полным английским собранием и первым томом греко-латинского издания Кордье 1634 г. Поздняя дата печати не превращает его в новый исходный трактат. Связь со строкой конкретна: комментарий Гуго на «Небесную иерархию», Expositiones Эриугены и последующая латинская экзегеза Дионисия.</w:t>
      </w:r>
    </w:p>
    <w:p>
      <w:pPr>
        <w:pStyle w:val="SourceLink"/>
      </w:pPr>
      <w:r>
        <w:t xml:space="preserve">Источники и записи реестра: </w:t>
      </w:r>
      <w:hyperlink r:id="rId11">
        <w:r>
          <w:rPr>
            <w:color w:val="176578"/>
            <w:u w:val="single"/>
          </w:rPr>
          <w:t>R001</w:t>
        </w:r>
      </w:hyperlink>
      <w:r>
        <w:t xml:space="preserve">  ·  </w:t>
      </w:r>
      <w:hyperlink r:id="rId32">
        <w:r>
          <w:rPr>
            <w:color w:val="176578"/>
            <w:u w:val="single"/>
          </w:rPr>
          <w:t>R048</w:t>
        </w:r>
      </w:hyperlink>
      <w:r>
        <w:t xml:space="preserve">  ·  </w:t>
      </w:r>
      <w:hyperlink r:id="rId33">
        <w:r>
          <w:rPr>
            <w:color w:val="176578"/>
            <w:u w:val="single"/>
          </w:rPr>
          <w:t>R049</w:t>
        </w:r>
      </w:hyperlink>
      <w:r>
        <w:t xml:space="preserve">  ·  </w:t>
      </w:r>
      <w:hyperlink r:id="rId34">
        <w:r>
          <w:rPr>
            <w:color w:val="176578"/>
            <w:u w:val="single"/>
          </w:rPr>
          <w:t>R050</w:t>
        </w:r>
      </w:hyperlink>
      <w:r>
        <w:t xml:space="preserve">  ·  </w:t>
      </w:r>
      <w:hyperlink r:id="rId35">
        <w:r>
          <w:rPr>
            <w:color w:val="176578"/>
            <w:u w:val="single"/>
          </w:rPr>
          <w:t>R051</w:t>
        </w:r>
      </w:hyperlink>
      <w:r>
        <w:t xml:space="preserve">  ·  </w:t>
      </w:r>
      <w:hyperlink r:id="rId36">
        <w:r>
          <w:rPr>
            <w:color w:val="176578"/>
            <w:u w:val="single"/>
          </w:rPr>
          <w:t>R052</w:t>
        </w:r>
      </w:hyperlink>
      <w:r>
        <w:t xml:space="preserve">  ·  </w:t>
      </w:r>
      <w:hyperlink r:id="rId37">
        <w:r>
          <w:rPr>
            <w:color w:val="176578"/>
            <w:u w:val="single"/>
          </w:rPr>
          <w:t>R053</w:t>
        </w:r>
      </w:hyperlink>
      <w:r>
        <w:t xml:space="preserve">  ·  </w:t>
      </w:r>
      <w:hyperlink r:id="rId38">
        <w:r>
          <w:rPr>
            <w:color w:val="176578"/>
            <w:u w:val="single"/>
          </w:rPr>
          <w:t>R068</w:t>
        </w:r>
      </w:hyperlink>
    </w:p>
    <w:p>
      <w:r>
        <w:t>Из Августина сохранены Confessiones и De Trinitate: они раскрывают указанные DR внутреннее восхождение, тринитарную антропологию и интеллектуальные основания созерцания. Monologion Ансельма включён как школьный предшественник рациональной теологии Ришара, а не как доказательство зависимости каждого аргумента. Liber de causis сохранён как прямо названный источник Экхарта; найден официальный издательский путь к переводу, но не свободный оригинал.</w:t>
      </w:r>
    </w:p>
    <w:p>
      <w:pPr>
        <w:pStyle w:val="SourceLink"/>
      </w:pPr>
      <w:r>
        <w:t xml:space="preserve">Источники и записи реестра: </w:t>
      </w:r>
      <w:hyperlink r:id="rId39">
        <w:r>
          <w:rPr>
            <w:color w:val="176578"/>
            <w:u w:val="single"/>
          </w:rPr>
          <w:t>R044</w:t>
        </w:r>
      </w:hyperlink>
      <w:r>
        <w:t xml:space="preserve">  ·  </w:t>
      </w:r>
      <w:hyperlink r:id="rId40">
        <w:r>
          <w:rPr>
            <w:color w:val="176578"/>
            <w:u w:val="single"/>
          </w:rPr>
          <w:t>R054</w:t>
        </w:r>
      </w:hyperlink>
      <w:r>
        <w:t xml:space="preserve">  ·  </w:t>
      </w:r>
      <w:hyperlink r:id="rId41">
        <w:r>
          <w:rPr>
            <w:color w:val="176578"/>
            <w:u w:val="single"/>
          </w:rPr>
          <w:t>R073</w:t>
        </w:r>
      </w:hyperlink>
      <w:r>
        <w:t xml:space="preserve">  ·  </w:t>
      </w:r>
      <w:hyperlink r:id="rId42">
        <w:r>
          <w:rPr>
            <w:color w:val="176578"/>
            <w:u w:val="single"/>
          </w:rPr>
          <w:t>R077</w:t>
        </w:r>
      </w:hyperlink>
    </w:p>
    <w:p>
      <w:r>
        <w:t>Названные DR Прокл, Маймонид, Авиценна, Аверроэс и Ибн Габироль не превращены автоматически в полные дополнительные корпуса. Их конкретные произведения и места использования следует устанавливать по указателям латинского Экхарта; незавершённый предметный поиск зафиксирован в G25. Это ограничение выполненного исследования, а не отрицание их влияния.</w:t>
      </w:r>
    </w:p>
    <w:p>
      <w:pPr>
        <w:pStyle w:val="Heading2"/>
      </w:pPr>
      <w:r>
        <w:t>Поиск вперёд: комментарии, продолжения и сохранение</w:t>
      </w:r>
    </w:p>
    <w:p>
      <w:r>
        <w:t>Сузо представлен немецким Exemplar и связанными текстами, отдельными английскими «Книжицей вечной Премудрости» и «Жизнью Служителя», а также современным переводом. Таулер — историческим немецким изданием Vetter и английским сборником Hutton. Рюйсбрук — оригинальными средненидерландскими томами, старым английским переводом и современным полным двуязычным собранием. Связь — заявленная DR рейнско-нидерландская народноязычная и рукописная передача; прямое ученичество Рюйсбрука или Таулера у Экхарта не утверждается.</w:t>
      </w:r>
    </w:p>
    <w:p>
      <w:pPr>
        <w:pStyle w:val="SourceLink"/>
      </w:pPr>
      <w:r>
        <w:t xml:space="preserve">Источники и записи реестра: </w:t>
      </w:r>
      <w:hyperlink r:id="rId43">
        <w:r>
          <w:rPr>
            <w:color w:val="176578"/>
            <w:u w:val="single"/>
          </w:rPr>
          <w:t>R039</w:t>
        </w:r>
      </w:hyperlink>
      <w:r>
        <w:t xml:space="preserve">  ·  </w:t>
      </w:r>
      <w:hyperlink r:id="rId44">
        <w:r>
          <w:rPr>
            <w:color w:val="176578"/>
            <w:u w:val="single"/>
          </w:rPr>
          <w:t>R040</w:t>
        </w:r>
      </w:hyperlink>
      <w:r>
        <w:t xml:space="preserve">  ·  </w:t>
      </w:r>
      <w:hyperlink r:id="rId45">
        <w:r>
          <w:rPr>
            <w:color w:val="176578"/>
            <w:u w:val="single"/>
          </w:rPr>
          <w:t>R041</w:t>
        </w:r>
      </w:hyperlink>
      <w:r>
        <w:t xml:space="preserve">  ·  </w:t>
      </w:r>
      <w:hyperlink r:id="rId46">
        <w:r>
          <w:rPr>
            <w:color w:val="176578"/>
            <w:u w:val="single"/>
          </w:rPr>
          <w:t>R046</w:t>
        </w:r>
      </w:hyperlink>
      <w:r>
        <w:t xml:space="preserve">  ·  </w:t>
      </w:r>
      <w:hyperlink r:id="rId47">
        <w:r>
          <w:rPr>
            <w:color w:val="176578"/>
            <w:u w:val="single"/>
          </w:rPr>
          <w:t>R047</w:t>
        </w:r>
      </w:hyperlink>
      <w:r>
        <w:t xml:space="preserve">  ·  </w:t>
      </w:r>
      <w:hyperlink r:id="rId48">
        <w:r>
          <w:rPr>
            <w:color w:val="176578"/>
            <w:u w:val="single"/>
          </w:rPr>
          <w:t>R056</w:t>
        </w:r>
      </w:hyperlink>
      <w:r>
        <w:t xml:space="preserve">  ·  </w:t>
      </w:r>
      <w:hyperlink r:id="rId49">
        <w:r>
          <w:rPr>
            <w:color w:val="176578"/>
            <w:u w:val="single"/>
          </w:rPr>
          <w:t>R057</w:t>
        </w:r>
      </w:hyperlink>
      <w:r>
        <w:t xml:space="preserve">  ·  </w:t>
      </w:r>
      <w:hyperlink r:id="rId50">
        <w:r>
          <w:rPr>
            <w:color w:val="176578"/>
            <w:u w:val="single"/>
          </w:rPr>
          <w:t>R063</w:t>
        </w:r>
      </w:hyperlink>
      <w:r>
        <w:t xml:space="preserve">  ·  </w:t>
      </w:r>
      <w:hyperlink r:id="rId51">
        <w:r>
          <w:rPr>
            <w:color w:val="176578"/>
            <w:u w:val="single"/>
          </w:rPr>
          <w:t>R064</w:t>
        </w:r>
      </w:hyperlink>
      <w:r>
        <w:t xml:space="preserve">  ·  </w:t>
      </w:r>
      <w:hyperlink r:id="rId52">
        <w:r>
          <w:rPr>
            <w:color w:val="176578"/>
            <w:u w:val="single"/>
          </w:rPr>
          <w:t>R066</w:t>
        </w:r>
      </w:hyperlink>
    </w:p>
    <w:p>
      <w:r>
        <w:t>XV век представлен Apologia doctae ignorantiae Кузанского и полемическим сочинением De ignota litteratura Венка. В Apologia, §§25–26, Экхарт обсуждается непосредственно: это существенно более сильная связь, чем простое сходство апофатического словаря. Латинский перевод «Духовного брака» Рюйсбрука Герардом Гроте, около 1384 г., включён как конкретный канал передачи. Печатный том комментариев Дионисия Картузианца 1536 г. важен также как контейнер нескольких латинских переводов Дионисия и парафраза Фомы Галла.</w:t>
      </w:r>
    </w:p>
    <w:p>
      <w:pPr>
        <w:pStyle w:val="SourceLink"/>
      </w:pPr>
      <w:r>
        <w:t xml:space="preserve">Источники и записи реестра: </w:t>
      </w:r>
      <w:hyperlink r:id="rId53">
        <w:r>
          <w:rPr>
            <w:color w:val="176578"/>
            <w:u w:val="single"/>
          </w:rPr>
          <w:t>R042</w:t>
        </w:r>
      </w:hyperlink>
      <w:r>
        <w:t xml:space="preserve">  ·  </w:t>
      </w:r>
      <w:hyperlink r:id="rId54">
        <w:r>
          <w:rPr>
            <w:color w:val="176578"/>
            <w:u w:val="single"/>
          </w:rPr>
          <w:t>R043</w:t>
        </w:r>
      </w:hyperlink>
      <w:r>
        <w:t xml:space="preserve">  ·  </w:t>
      </w:r>
      <w:hyperlink r:id="rId55">
        <w:r>
          <w:rPr>
            <w:color w:val="176578"/>
            <w:u w:val="single"/>
          </w:rPr>
          <w:t>R065</w:t>
        </w:r>
      </w:hyperlink>
      <w:r>
        <w:t xml:space="preserve">  ·  </w:t>
      </w:r>
      <w:hyperlink r:id="rId56">
        <w:r>
          <w:rPr>
            <w:color w:val="176578"/>
            <w:u w:val="single"/>
          </w:rPr>
          <w:t>R067</w:t>
        </w:r>
      </w:hyperlink>
    </w:p>
    <w:p>
      <w:r>
        <w:t>Cloud и сборник Deonise Hid Diuinite добавлены не как произвольная английская параллель: научное введение METS указывает Фому Галла и Гуго Бальму, а также перевод Benjamin Minor автором этой текстовой семьи. Жерсон включён через доступное издание ранних работ, в том числе «Гору созерцания» и выдержки из спекулятивной мистической теологии. Theologia Germanica представляет самостоятельную анонимную народноязычную линию и её позднюю печатно-переводческую передачу; это не произведение Экхарта или Таулера.</w:t>
      </w:r>
    </w:p>
    <w:p>
      <w:pPr>
        <w:pStyle w:val="SourceLink"/>
      </w:pPr>
      <w:r>
        <w:t xml:space="preserve">Источники и записи реестра: </w:t>
      </w:r>
      <w:hyperlink r:id="rId57">
        <w:r>
          <w:rPr>
            <w:color w:val="176578"/>
            <w:u w:val="single"/>
          </w:rPr>
          <w:t>R061</w:t>
        </w:r>
      </w:hyperlink>
      <w:r>
        <w:t xml:space="preserve">  ·  </w:t>
      </w:r>
      <w:hyperlink r:id="rId58">
        <w:r>
          <w:rPr>
            <w:color w:val="176578"/>
            <w:u w:val="single"/>
          </w:rPr>
          <w:t>R062</w:t>
        </w:r>
      </w:hyperlink>
      <w:r>
        <w:t xml:space="preserve">  ·  </w:t>
      </w:r>
      <w:hyperlink r:id="rId59">
        <w:r>
          <w:rPr>
            <w:color w:val="176578"/>
            <w:u w:val="single"/>
          </w:rPr>
          <w:t>R070</w:t>
        </w:r>
      </w:hyperlink>
      <w:r>
        <w:t xml:space="preserve">  ·  </w:t>
      </w:r>
      <w:hyperlink r:id="rId60">
        <w:r>
          <w:rPr>
            <w:color w:val="176578"/>
            <w:u w:val="single"/>
          </w:rPr>
          <w:t>R071</w:t>
        </w:r>
      </w:hyperlink>
      <w:r>
        <w:t xml:space="preserve">  ·  </w:t>
      </w:r>
      <w:hyperlink r:id="rId61">
        <w:r>
          <w:rPr>
            <w:color w:val="176578"/>
            <w:u w:val="single"/>
          </w:rPr>
          <w:t>R072</w:t>
        </w:r>
      </w:hyperlink>
      <w:r>
        <w:t xml:space="preserve">  ·  </w:t>
      </w:r>
      <w:hyperlink r:id="rId62">
        <w:r>
          <w:rPr>
            <w:color w:val="176578"/>
            <w:u w:val="single"/>
          </w:rPr>
          <w:t>R075</w:t>
        </w:r>
      </w:hyperlink>
      <w:r>
        <w:t xml:space="preserve">  ·  </w:t>
      </w:r>
      <w:hyperlink r:id="rId63">
        <w:r>
          <w:rPr>
            <w:color w:val="176578"/>
            <w:u w:val="single"/>
          </w:rPr>
          <w:t>R076</w:t>
        </w:r>
      </w:hyperlink>
      <w:r>
        <w:t xml:space="preserve">  ·  </w:t>
      </w:r>
      <w:hyperlink r:id="rId64">
        <w:r>
          <w:rPr>
            <w:color w:val="176578"/>
            <w:u w:val="single"/>
          </w:rPr>
          <w:t>R079</w:t>
        </w:r>
      </w:hyperlink>
    </w:p>
    <w:p>
      <w:pPr>
        <w:pStyle w:val="Heading2"/>
      </w:pPr>
      <w:r>
        <w:t>Что означают количественные итоги</w:t>
      </w:r>
    </w:p>
    <w:p>
      <w:r>
        <w:t>По тегам реестра: core — 31 запись, same_corpus_or_tradition — 15, antecedent — 11, continuation — 6, commentary_or_reception — 7, transmission_or_preservation — 6, infrastructure — 3. Это распределение маршрутов, а не произведений. Отдельные supporting, boundary и secondary_navigation-записи не создавались ради заполнения всех категорий; вспомогательные сведения даны в примечаниях и пробелах.</w:t>
      </w:r>
    </w:p>
    <w:p>
      <w:r>
        <w:t>34 записи имеют free_full_read, 23 — free_download, 33 — purchase, 2 — preview_or_snippet, 10 — metadata_only, 5 — temporarily_unavailable. Теги пересекаются: покупка может соседствовать с карточкой, а бесплатное чтение — со скачиванием. В части записей подтверждены предложение доступа и меню, но файл либо viewer не открылись; степень проверки всегда указана отдельно. Реальная выдача конкретному пользователю, бесплатная регистрация и институциональная подписка не подтверждены, поэтому соответствующие режимы не обещаны.</w:t>
      </w:r>
    </w:p>
    <w:p>
      <w:pPr>
        <w:pStyle w:val="Heading1"/>
      </w:pPr>
      <w:r>
        <w:t>3. Лучшие пути доступа</w:t>
      </w:r>
    </w:p>
    <w:p>
      <w:pPr>
        <w:pStyle w:val="SmallNote"/>
      </w:pPr>
      <w:r>
        <w:t>Выбор ниже разделяет научную опору, удобство чтения и свободу повторного использования. Самое новое критическое издание не обязательно свободно; самый открытый исторический текст не обязательно даёт лучший современный аппарат. Отсутствующий вариант не заменяется сомнительным зеркалом.</w:t>
      </w:r>
    </w:p>
    <w:p>
      <w:pPr>
        <w:pStyle w:val="Heading2"/>
      </w:pPr>
      <w:r>
        <w:t>Гуго и Ришар Сен-Викторские</w:t>
      </w:r>
    </w:p>
    <w:p>
      <w:r>
        <w:t>Для научной работы с Super Ierarchiam предпочтителен латинский CCCM 178 под редакцией Dominique Poirel; для двух сочинений Гуго о ковчеге — CCCM 176 Patrice Sicard. Оба маршрута платные, но дают точную идентификацию текста. Бесплатный старопечатный резерв — Oxford / Google Books, PL 175 и PL 176. В PL 176 открыто оглавление с обоими названиями о ковчеге, De sacramentis, Didascalicon и другими текстами; меню предлагает загрузку. Для PL 175 viewer не открылся, поэтому конкретные колонки комментария ещё нельзя цитировать как проверенные.</w:t>
      </w:r>
    </w:p>
    <w:p>
      <w:pPr>
        <w:pStyle w:val="SourceLink"/>
      </w:pPr>
      <w:r>
        <w:t xml:space="preserve">Источники и записи реестра: </w:t>
      </w:r>
      <w:hyperlink r:id="rId11">
        <w:r>
          <w:rPr>
            <w:color w:val="176578"/>
            <w:u w:val="single"/>
          </w:rPr>
          <w:t>R001</w:t>
        </w:r>
      </w:hyperlink>
      <w:r>
        <w:t xml:space="preserve">  ·  </w:t>
      </w:r>
      <w:hyperlink r:id="rId13">
        <w:r>
          <w:rPr>
            <w:color w:val="176578"/>
            <w:u w:val="single"/>
          </w:rPr>
          <w:t>R004</w:t>
        </w:r>
      </w:hyperlink>
      <w:r>
        <w:t xml:space="preserve">  ·  </w:t>
      </w:r>
      <w:hyperlink r:id="rId65">
        <w:r>
          <w:rPr>
            <w:color w:val="176578"/>
            <w:u w:val="single"/>
          </w:rPr>
          <w:t>R032</w:t>
        </w:r>
      </w:hyperlink>
      <w:r>
        <w:t xml:space="preserve">  ·  </w:t>
      </w:r>
      <w:hyperlink r:id="rId66">
        <w:r>
          <w:rPr>
            <w:color w:val="176578"/>
            <w:u w:val="single"/>
          </w:rPr>
          <w:t>R074</w:t>
        </w:r>
      </w:hyperlink>
    </w:p>
    <w:p>
      <w:r>
        <w:t>Для De Trinitate Ришара сильный современный вход — двуязычное On the Trinity у Brepols. Бесплатный латинский резерв — PL 196, институциональный экземпляр в Internet Archive. Benjamin Major доступен по-английски как On the Ark of Moses в Spiritual Formation and Mystical Symbolism; для Benjamin Minor / Book of the Patriarchs найден Paulist Press. Последние два пути платные. Полный старый открытый английский перевод обеих «Беньяминовых» книг и чистый лицензированный машиночитаемый латинский набор не установлены.</w:t>
      </w:r>
    </w:p>
    <w:p>
      <w:pPr>
        <w:pStyle w:val="SourceLink"/>
      </w:pPr>
      <w:r>
        <w:t xml:space="preserve">Источники и записи реестра: </w:t>
      </w:r>
      <w:hyperlink r:id="rId12">
        <w:r>
          <w:rPr>
            <w:color w:val="176578"/>
            <w:u w:val="single"/>
          </w:rPr>
          <w:t>R002</w:t>
        </w:r>
      </w:hyperlink>
      <w:r>
        <w:t xml:space="preserve">  ·  </w:t>
      </w:r>
      <w:hyperlink r:id="rId14">
        <w:r>
          <w:rPr>
            <w:color w:val="176578"/>
            <w:u w:val="single"/>
          </w:rPr>
          <w:t>R008</w:t>
        </w:r>
      </w:hyperlink>
      <w:r>
        <w:t xml:space="preserve">  ·  </w:t>
      </w:r>
      <w:hyperlink r:id="rId67">
        <w:r>
          <w:rPr>
            <w:color w:val="176578"/>
            <w:u w:val="single"/>
          </w:rPr>
          <w:t>R009</w:t>
        </w:r>
      </w:hyperlink>
      <w:r>
        <w:t xml:space="preserve">  ·  </w:t>
      </w:r>
      <w:hyperlink r:id="rId30">
        <w:r>
          <w:rPr>
            <w:color w:val="176578"/>
            <w:u w:val="single"/>
          </w:rPr>
          <w:t>R037</w:t>
        </w:r>
      </w:hyperlink>
    </w:p>
    <w:p>
      <w:r>
        <w:t>Дополнительные викторинские издания полезны для состава корпуса: On Love объединяет несколько авторов, а том о духовном формировании — разные произведения Гуго, Ришара и Фомы Галла. Они не подменяют полные Opera каждого автора. Для собственных переводов ToS безопаснее сначала закрепить конкретное старое издание или рукопись и права на цифровой слой; современный CCCM автоматически такой основой не объявлен.</w:t>
      </w:r>
    </w:p>
    <w:p>
      <w:pPr>
        <w:pStyle w:val="SourceLink"/>
      </w:pPr>
      <w:r>
        <w:t xml:space="preserve">Источники и записи реестра: </w:t>
      </w:r>
      <w:hyperlink r:id="rId23">
        <w:r>
          <w:rPr>
            <w:color w:val="176578"/>
            <w:u w:val="single"/>
          </w:rPr>
          <w:t>R003</w:t>
        </w:r>
      </w:hyperlink>
      <w:r>
        <w:t xml:space="preserve">  ·  </w:t>
      </w:r>
      <w:hyperlink r:id="rId24">
        <w:r>
          <w:rPr>
            <w:color w:val="176578"/>
            <w:u w:val="single"/>
          </w:rPr>
          <w:t>R005</w:t>
        </w:r>
      </w:hyperlink>
      <w:r>
        <w:t xml:space="preserve">  ·  </w:t>
      </w:r>
      <w:hyperlink r:id="rId25">
        <w:r>
          <w:rPr>
            <w:color w:val="176578"/>
            <w:u w:val="single"/>
          </w:rPr>
          <w:t>R006</w:t>
        </w:r>
      </w:hyperlink>
      <w:r>
        <w:t xml:space="preserve">  ·  </w:t>
      </w:r>
      <w:hyperlink r:id="rId26">
        <w:r>
          <w:rPr>
            <w:color w:val="176578"/>
            <w:u w:val="single"/>
          </w:rPr>
          <w:t>R007</w:t>
        </w:r>
      </w:hyperlink>
      <w:r>
        <w:t xml:space="preserve">  ·  </w:t>
      </w:r>
      <w:hyperlink r:id="rId14">
        <w:r>
          <w:rPr>
            <w:color w:val="176578"/>
            <w:u w:val="single"/>
          </w:rPr>
          <w:t>R008</w:t>
        </w:r>
      </w:hyperlink>
    </w:p>
    <w:p>
      <w:pPr>
        <w:pStyle w:val="Heading2"/>
      </w:pPr>
      <w:r>
        <w:t>Бонавентура</w:t>
      </w:r>
    </w:p>
    <w:p>
      <w:r>
        <w:t>Лучший широкий бесплатный вход в латинский корпус — каталог HathiTrust для Quaracchi: он перечисляет весь комплект, включая указатели и альтернативные библиотечные экземпляры, с отметками Full view. Четыре книги комментария к «Сентенциям» входят в первые четыре тома. Проверенный каталог не равен проверке каждого скана: тестовый viewer не открылся. Поэтому R055 не обещает свободную массовую загрузку PDF или отсутствие региональных ограничений.</w:t>
      </w:r>
    </w:p>
    <w:p>
      <w:pPr>
        <w:pStyle w:val="SourceLink"/>
      </w:pPr>
      <w:r>
        <w:t xml:space="preserve">Источники и записи реестра: </w:t>
      </w:r>
      <w:hyperlink r:id="rId68">
        <w:r>
          <w:rPr>
            <w:color w:val="176578"/>
            <w:u w:val="single"/>
          </w:rPr>
          <w:t>R055</w:t>
        </w:r>
      </w:hyperlink>
    </w:p>
    <w:p>
      <w:r>
        <w:t>Для немедленного предметного входа сохранены отдельные тома V и VIII в Internet Archive. Первый ведёт к школьным и созерцательным сочинениям, второй — к меньшим произведениям, но у сканов отмечены обрезанные поля. Paderborn из исходного DR не заменён выдуманной рабочей ссылкой: при проверке он возвращал 403, что отражено в R012 и G02. Латинский HTML Itinerarium в The Latin Library удобен для чтения, однако идентичность базового издания и разрешение на повторную публикацию не установлены.</w:t>
      </w:r>
    </w:p>
    <w:p>
      <w:pPr>
        <w:pStyle w:val="SourceLink"/>
      </w:pPr>
      <w:r>
        <w:t xml:space="preserve">Источники и записи реестра: </w:t>
      </w:r>
      <w:hyperlink r:id="rId69">
        <w:r>
          <w:rPr>
            <w:color w:val="176578"/>
            <w:u w:val="single"/>
          </w:rPr>
          <w:t>R010</w:t>
        </w:r>
      </w:hyperlink>
      <w:r>
        <w:t xml:space="preserve">  ·  </w:t>
      </w:r>
      <w:hyperlink r:id="rId70">
        <w:r>
          <w:rPr>
            <w:color w:val="176578"/>
            <w:u w:val="single"/>
          </w:rPr>
          <w:t>R011</w:t>
        </w:r>
      </w:hyperlink>
      <w:r>
        <w:t xml:space="preserve">  ·  </w:t>
      </w:r>
      <w:hyperlink r:id="rId71">
        <w:r>
          <w:rPr>
            <w:color w:val="176578"/>
            <w:u w:val="single"/>
          </w:rPr>
          <w:t>R012</w:t>
        </w:r>
      </w:hyperlink>
      <w:r>
        <w:t xml:space="preserve">  ·  </w:t>
      </w:r>
      <w:hyperlink r:id="rId72">
        <w:r>
          <w:rPr>
            <w:color w:val="176578"/>
            <w:u w:val="single"/>
          </w:rPr>
          <w:t>R020</w:t>
        </w:r>
      </w:hyperlink>
    </w:p>
    <w:p>
      <w:r>
        <w:t>Предпочтительные современные пути — Franciscan Institute Publications: двуязычный Itinerarium, De scientia Christi, De mysterio Trinitatis, De reductione artium ad theologiam, Breviloquium и перевод Collationes in Hexaemeron. Это не открытые лицензированные файлы. Тематический Commentary on the Sentences: Philosophy of God — выборка, а не перевод всех четырёх книг; карточка помечена как отсутствующая в наличии. Для Hexaemeron нужно сохранять различие редакций и reportationes, а не считать все переводы эквивалентными.</w:t>
      </w:r>
    </w:p>
    <w:p>
      <w:pPr>
        <w:pStyle w:val="SourceLink"/>
      </w:pPr>
      <w:r>
        <w:t xml:space="preserve">Источники и записи реестра: </w:t>
      </w:r>
      <w:hyperlink r:id="rId15">
        <w:r>
          <w:rPr>
            <w:color w:val="176578"/>
            <w:u w:val="single"/>
          </w:rPr>
          <w:t>R013</w:t>
        </w:r>
      </w:hyperlink>
      <w:r>
        <w:t xml:space="preserve">  ·  </w:t>
      </w:r>
      <w:hyperlink r:id="rId16">
        <w:r>
          <w:rPr>
            <w:color w:val="176578"/>
            <w:u w:val="single"/>
          </w:rPr>
          <w:t>R014</w:t>
        </w:r>
      </w:hyperlink>
      <w:r>
        <w:t xml:space="preserve">  ·  </w:t>
      </w:r>
      <w:hyperlink r:id="rId27">
        <w:r>
          <w:rPr>
            <w:color w:val="176578"/>
            <w:u w:val="single"/>
          </w:rPr>
          <w:t>R015</w:t>
        </w:r>
      </w:hyperlink>
      <w:r>
        <w:t xml:space="preserve">  ·  </w:t>
      </w:r>
      <w:hyperlink r:id="rId28">
        <w:r>
          <w:rPr>
            <w:color w:val="176578"/>
            <w:u w:val="single"/>
          </w:rPr>
          <w:t>R016</w:t>
        </w:r>
      </w:hyperlink>
      <w:r>
        <w:t xml:space="preserve">  ·  </w:t>
      </w:r>
      <w:hyperlink r:id="rId17">
        <w:r>
          <w:rPr>
            <w:color w:val="176578"/>
            <w:u w:val="single"/>
          </w:rPr>
          <w:t>R017</w:t>
        </w:r>
      </w:hyperlink>
      <w:r>
        <w:t xml:space="preserve">  ·  </w:t>
      </w:r>
      <w:hyperlink r:id="rId29">
        <w:r>
          <w:rPr>
            <w:color w:val="176578"/>
            <w:u w:val="single"/>
          </w:rPr>
          <w:t>R018</w:t>
        </w:r>
      </w:hyperlink>
      <w:r>
        <w:t xml:space="preserve">  ·  </w:t>
      </w:r>
      <w:hyperlink r:id="rId18">
        <w:r>
          <w:rPr>
            <w:color w:val="176578"/>
            <w:u w:val="single"/>
          </w:rPr>
          <w:t>R019</w:t>
        </w:r>
      </w:hyperlink>
    </w:p>
    <w:p>
      <w:r>
        <w:t>Русский бесплатный вход в «Путеводитель души к Богу» найден на Sedmitza: представлены оглавление и разделы перевода В. Л. Задворного. Это доступный текст современного перевода, но не доказательство передачи ToS прав на его копирование. Свободного по лицензии русского варианта или полностью проверенного машинного Quaracchi-пакета в этом исследовании нет.</w:t>
      </w:r>
    </w:p>
    <w:p>
      <w:pPr>
        <w:pStyle w:val="SourceLink"/>
      </w:pPr>
      <w:r>
        <w:t xml:space="preserve">Источники и записи реестра: </w:t>
      </w:r>
      <w:hyperlink r:id="rId73">
        <w:r>
          <w:rPr>
            <w:color w:val="176578"/>
            <w:u w:val="single"/>
          </w:rPr>
          <w:t>R059</w:t>
        </w:r>
      </w:hyperlink>
    </w:p>
    <w:p>
      <w:pPr>
        <w:pStyle w:val="Heading2"/>
      </w:pPr>
      <w:r>
        <w:t>Экхарт: латинский, немецкий и русский доступ</w:t>
      </w:r>
    </w:p>
    <w:p>
      <w:r>
        <w:t>Наиболее надёжная научная опора — Die deutschen und lateinischen Werke у Kohlhammer. Найдены отдельные карточки латинских томов: прологи и Genesis, оксфордская редакция Genesis, комментарии на Exodus, Ecclesiasticus и Sapientia, фрагмент Canticum, комментарий на Иоанна, Sermones, вопросы и документы процесса. Оксфордская редакция обозначена как предварительный заказ: это путь к изданию, а не подтверждённый готовый цифровой файл.</w:t>
      </w:r>
    </w:p>
    <w:p>
      <w:pPr>
        <w:pStyle w:val="SourceLink"/>
      </w:pPr>
      <w:r>
        <w:t xml:space="preserve">Источники и записи реестра: </w:t>
      </w:r>
      <w:hyperlink r:id="rId74">
        <w:r>
          <w:rPr>
            <w:color w:val="176578"/>
            <w:u w:val="single"/>
          </w:rPr>
          <w:t>R021</w:t>
        </w:r>
      </w:hyperlink>
      <w:r>
        <w:t xml:space="preserve">  ·  </w:t>
      </w:r>
      <w:hyperlink r:id="rId75">
        <w:r>
          <w:rPr>
            <w:color w:val="176578"/>
            <w:u w:val="single"/>
          </w:rPr>
          <w:t>R022</w:t>
        </w:r>
      </w:hyperlink>
      <w:r>
        <w:t xml:space="preserve">  ·  </w:t>
      </w:r>
      <w:hyperlink r:id="rId76">
        <w:r>
          <w:rPr>
            <w:color w:val="176578"/>
            <w:u w:val="single"/>
          </w:rPr>
          <w:t>R023</w:t>
        </w:r>
      </w:hyperlink>
      <w:r>
        <w:t xml:space="preserve">  ·  </w:t>
      </w:r>
      <w:hyperlink r:id="rId77">
        <w:r>
          <w:rPr>
            <w:color w:val="176578"/>
            <w:u w:val="single"/>
          </w:rPr>
          <w:t>R024</w:t>
        </w:r>
      </w:hyperlink>
      <w:r>
        <w:t xml:space="preserve">  ·  </w:t>
      </w:r>
      <w:hyperlink r:id="rId78">
        <w:r>
          <w:rPr>
            <w:color w:val="176578"/>
            <w:u w:val="single"/>
          </w:rPr>
          <w:t>R025</w:t>
        </w:r>
      </w:hyperlink>
      <w:r>
        <w:t xml:space="preserve">  ·  </w:t>
      </w:r>
      <w:hyperlink r:id="rId19">
        <w:r>
          <w:rPr>
            <w:color w:val="176578"/>
            <w:u w:val="single"/>
          </w:rPr>
          <w:t>R026</w:t>
        </w:r>
      </w:hyperlink>
    </w:p>
    <w:p>
      <w:r>
        <w:t>Для немецкого корпуса проверены DW I, III и V. Последний включает Liber Benedictus, Reden der Unterscheidung и Von abegescheidenheit; наличие последнего в издании не устраняет атрибутивной проблемы. DW II и IV оставлены как конкретное дополнение G08. Английские научные варианты — Parisian Questions and Prologues у PIMS и The Essential Sermons, Commentaries, Treatises, and Defense в лицензированном цифровом издании Logos. Оба выборочные и защищённые.</w:t>
      </w:r>
    </w:p>
    <w:p>
      <w:pPr>
        <w:pStyle w:val="SourceLink"/>
      </w:pPr>
      <w:r>
        <w:t xml:space="preserve">Источники и записи реестра: </w:t>
      </w:r>
      <w:hyperlink r:id="rId79">
        <w:r>
          <w:rPr>
            <w:color w:val="176578"/>
            <w:u w:val="single"/>
          </w:rPr>
          <w:t>R027</w:t>
        </w:r>
      </w:hyperlink>
      <w:r>
        <w:t xml:space="preserve">  ·  </w:t>
      </w:r>
      <w:hyperlink r:id="rId20">
        <w:r>
          <w:rPr>
            <w:color w:val="176578"/>
            <w:u w:val="single"/>
          </w:rPr>
          <w:t>R028</w:t>
        </w:r>
      </w:hyperlink>
      <w:r>
        <w:t xml:space="preserve">  ·  </w:t>
      </w:r>
      <w:hyperlink r:id="rId80">
        <w:r>
          <w:rPr>
            <w:color w:val="176578"/>
            <w:u w:val="single"/>
          </w:rPr>
          <w:t>R029</w:t>
        </w:r>
      </w:hyperlink>
      <w:r>
        <w:t xml:space="preserve">  ·  </w:t>
      </w:r>
      <w:hyperlink r:id="rId81">
        <w:r>
          <w:rPr>
            <w:color w:val="176578"/>
            <w:u w:val="single"/>
          </w:rPr>
          <w:t>R058</w:t>
        </w:r>
      </w:hyperlink>
      <w:r>
        <w:t xml:space="preserve">  ·  </w:t>
      </w:r>
      <w:hyperlink r:id="rId82">
        <w:r>
          <w:rPr>
            <w:color w:val="176578"/>
            <w:u w:val="single"/>
          </w:rPr>
          <w:t>R060</w:t>
        </w:r>
      </w:hyperlink>
    </w:p>
    <w:p>
      <w:r>
        <w:t>Для бесплатного исторического чтения сохранено собрание Pfeiffer 1857 г. через HathiTrust; его состав нельзя без проверки приравнивать к современному аутентичному корпусу. CCEL даёт семь проповедей в старом переводе Claud Field и разрешает некоммерчески копировать неизменённый PDF. Это полезный свободный маршрут, но не полный немецкий или латинский Экхарт и не разрешение на новую критическую редакцию.</w:t>
      </w:r>
    </w:p>
    <w:p>
      <w:pPr>
        <w:pStyle w:val="SourceLink"/>
      </w:pPr>
      <w:r>
        <w:t xml:space="preserve">Источники и записи реестра: </w:t>
      </w:r>
      <w:hyperlink r:id="rId83">
        <w:r>
          <w:rPr>
            <w:color w:val="176578"/>
            <w:u w:val="single"/>
          </w:rPr>
          <w:t>R030</w:t>
        </w:r>
      </w:hyperlink>
      <w:r>
        <w:t xml:space="preserve">  ·  </w:t>
      </w:r>
      <w:hyperlink r:id="rId84">
        <w:r>
          <w:rPr>
            <w:color w:val="176578"/>
            <w:u w:val="single"/>
          </w:rPr>
          <w:t>R031</w:t>
        </w:r>
      </w:hyperlink>
    </w:p>
    <w:p>
      <w:r>
        <w:t>Лучший найденный прямой рукописный вход — Basel B VI 16 на e-codices, с IIIF; это эксцерпты латинских произведений. Для Nürnberg Cent. IV,40 описание Handschriftencensus открыто, отдельное факсимиле по URN блокировалось защитой. Регистр Handschriftencensus — каталог свидетелей, не готовый корпус текстов. Meister-Eckhart-Archiv digital в Кёльне — проект работы с редакционными материалами: внутренние оцифровки и намеченная миграция не означают свободной публикации DW/LW.</w:t>
      </w:r>
    </w:p>
    <w:p>
      <w:pPr>
        <w:pStyle w:val="SourceLink"/>
      </w:pPr>
      <w:r>
        <w:t xml:space="preserve">Источники и записи реестра: </w:t>
      </w:r>
      <w:hyperlink r:id="rId85">
        <w:r>
          <w:rPr>
            <w:color w:val="176578"/>
            <w:u w:val="single"/>
          </w:rPr>
          <w:t>R033</w:t>
        </w:r>
      </w:hyperlink>
      <w:r>
        <w:t xml:space="preserve">  ·  </w:t>
      </w:r>
      <w:hyperlink r:id="rId21">
        <w:r>
          <w:rPr>
            <w:color w:val="176578"/>
            <w:u w:val="single"/>
          </w:rPr>
          <w:t>R034</w:t>
        </w:r>
      </w:hyperlink>
      <w:r>
        <w:t xml:space="preserve">  ·  </w:t>
      </w:r>
      <w:hyperlink r:id="rId22">
        <w:r>
          <w:rPr>
            <w:color w:val="176578"/>
            <w:u w:val="single"/>
          </w:rPr>
          <w:t>R035</w:t>
        </w:r>
      </w:hyperlink>
      <w:r>
        <w:t xml:space="preserve">  ·  </w:t>
      </w:r>
      <w:hyperlink r:id="rId86">
        <w:r>
          <w:rPr>
            <w:color w:val="176578"/>
            <w:u w:val="single"/>
          </w:rPr>
          <w:t>R036</w:t>
        </w:r>
      </w:hyperlink>
      <w:r>
        <w:t xml:space="preserve">  ·  </w:t>
      </w:r>
      <w:hyperlink r:id="rId31">
        <w:r>
          <w:rPr>
            <w:color w:val="176578"/>
            <w:u w:val="single"/>
          </w:rPr>
          <w:t>R038</w:t>
        </w:r>
      </w:hyperlink>
    </w:p>
    <w:p>
      <w:r>
        <w:t>Русское издание «Трактаты. Проповеди», перевод М. Ю. Реутина, «Наука», 2010, подтверждено карточкой и вспомогательным каталогом серии; открытая магазинная карточка сообщает «Нет в продаже». Это библиографический и будущий библиотечный ориентир, не бесплатная электронная книга. Старый перевод М. В. Сабашниковой 1912 г. требует отдельной проверки экземпляра и срока охраны; в реестр как свободный он не внесён.</w:t>
      </w:r>
    </w:p>
    <w:p>
      <w:pPr>
        <w:pStyle w:val="SourceLink"/>
      </w:pPr>
      <w:r>
        <w:t xml:space="preserve">Источники и записи реестра: </w:t>
      </w:r>
      <w:hyperlink r:id="rId87">
        <w:r>
          <w:rPr>
            <w:color w:val="176578"/>
            <w:u w:val="single"/>
          </w:rPr>
          <w:t>R078</w:t>
        </w:r>
      </w:hyperlink>
    </w:p>
    <w:p>
      <w:pPr>
        <w:pStyle w:val="Heading2"/>
      </w:pPr>
      <w:r>
        <w:t>Дионисий и другие ранние основания</w:t>
      </w:r>
    </w:p>
    <w:p>
      <w:r>
        <w:t>Для быстрого бесплатного английского чтения Дионисия полезны тексты John Parker на Tertullian.org: Divine Names, Celestial Hierarchy и Ecclesiastical Hierarchy. На конкретных страницах есть заявление public domain. Ролт в CCEL даёт Divine Names вместе с Mystical Theology, но права на распространяемый PDF сформулированы иначе — некоммерчески и без изменений. Современный полный перевод Colm Luibheid, с Paul Rorem, доступен у Paulist Press как защищённое издание.</w:t>
      </w:r>
    </w:p>
    <w:p>
      <w:pPr>
        <w:pStyle w:val="SourceLink"/>
      </w:pPr>
      <w:r>
        <w:t xml:space="preserve">Источники и записи реестра: </w:t>
      </w:r>
      <w:hyperlink r:id="rId32">
        <w:r>
          <w:rPr>
            <w:color w:val="176578"/>
            <w:u w:val="single"/>
          </w:rPr>
          <w:t>R048</w:t>
        </w:r>
      </w:hyperlink>
      <w:r>
        <w:t xml:space="preserve">  ·  </w:t>
      </w:r>
      <w:hyperlink r:id="rId33">
        <w:r>
          <w:rPr>
            <w:color w:val="176578"/>
            <w:u w:val="single"/>
          </w:rPr>
          <w:t>R049</w:t>
        </w:r>
      </w:hyperlink>
      <w:r>
        <w:t xml:space="preserve">  ·  </w:t>
      </w:r>
      <w:hyperlink r:id="rId34">
        <w:r>
          <w:rPr>
            <w:color w:val="176578"/>
            <w:u w:val="single"/>
          </w:rPr>
          <w:t>R050</w:t>
        </w:r>
      </w:hyperlink>
      <w:r>
        <w:t xml:space="preserve">  ·  </w:t>
      </w:r>
      <w:hyperlink r:id="rId35">
        <w:r>
          <w:rPr>
            <w:color w:val="176578"/>
            <w:u w:val="single"/>
          </w:rPr>
          <w:t>R051</w:t>
        </w:r>
      </w:hyperlink>
      <w:r>
        <w:t xml:space="preserve">  ·  </w:t>
      </w:r>
      <w:hyperlink r:id="rId36">
        <w:r>
          <w:rPr>
            <w:color w:val="176578"/>
            <w:u w:val="single"/>
          </w:rPr>
          <w:t>R052</w:t>
        </w:r>
      </w:hyperlink>
    </w:p>
    <w:p>
      <w:r>
        <w:t>Для греческого оригинала и латинской рецепции найден институциональный скан первого тома Кордье, Антверпен, 1634, из Universidad de Sevilla, с Public Domain Mark. Это не весь Corpus Dionysiacum. OCR открыт, но греческий сильно повреждён; PDF-запрос не завершился, хотя меню загрузки есть. Свободный статус файла не делает его готовым надёжным исходником перевода. Современная латинская Expositiones Эриугены у Brepols даёт более точный научный вход в комментарийную линию, но остаётся защищённой.</w:t>
      </w:r>
    </w:p>
    <w:p>
      <w:pPr>
        <w:pStyle w:val="SourceLink"/>
      </w:pPr>
      <w:r>
        <w:t xml:space="preserve">Источники и записи реестра: </w:t>
      </w:r>
      <w:hyperlink r:id="rId37">
        <w:r>
          <w:rPr>
            <w:color w:val="176578"/>
            <w:u w:val="single"/>
          </w:rPr>
          <w:t>R053</w:t>
        </w:r>
      </w:hyperlink>
      <w:r>
        <w:t xml:space="preserve">  ·  </w:t>
      </w:r>
      <w:hyperlink r:id="rId38">
        <w:r>
          <w:rPr>
            <w:color w:val="176578"/>
            <w:u w:val="single"/>
          </w:rPr>
          <w:t>R068</w:t>
        </w:r>
      </w:hyperlink>
    </w:p>
    <w:p>
      <w:r>
        <w:t>Для Confessiones Августина удобен академический сайт James J. O’Donnell с латинским текстом и аппаратом, но разрешения на зеркалирование современного издания нет. De Trinitate полностью перечислен по пятнадцати книгам на New Advent в старом английском переводе с современным редактированием сайта. Monologion Ансельма бесплатно доступен в переводе Hopkins / Richardson через American Cusanus Society, с сохранённым copyright. Эти версии нужны для чтения и исследования, а не как автоматически свободный материал ToS.</w:t>
      </w:r>
    </w:p>
    <w:p>
      <w:pPr>
        <w:pStyle w:val="SourceLink"/>
      </w:pPr>
      <w:r>
        <w:t xml:space="preserve">Источники и записи реестра: </w:t>
      </w:r>
      <w:hyperlink r:id="rId39">
        <w:r>
          <w:rPr>
            <w:color w:val="176578"/>
            <w:u w:val="single"/>
          </w:rPr>
          <w:t>R044</w:t>
        </w:r>
      </w:hyperlink>
      <w:r>
        <w:t xml:space="preserve">  ·  </w:t>
      </w:r>
      <w:hyperlink r:id="rId40">
        <w:r>
          <w:rPr>
            <w:color w:val="176578"/>
            <w:u w:val="single"/>
          </w:rPr>
          <w:t>R054</w:t>
        </w:r>
      </w:hyperlink>
      <w:r>
        <w:t xml:space="preserve">  ·  </w:t>
      </w:r>
      <w:hyperlink r:id="rId41">
        <w:r>
          <w:rPr>
            <w:color w:val="176578"/>
            <w:u w:val="single"/>
          </w:rPr>
          <w:t>R073</w:t>
        </w:r>
      </w:hyperlink>
    </w:p>
    <w:p>
      <w:r>
        <w:t>Liber de causis получил официальный вход в издательском списке Marquette к переводу Dennis J. Brand, второе исправленное издание. Кнопка заказа была обнаружена, но внешний checkout не открылся. В реестре сохранён путь purchase с этим ограничением; наличие книги и возможность завершить покупку не подтверждены.</w:t>
      </w:r>
    </w:p>
    <w:p>
      <w:pPr>
        <w:pStyle w:val="SourceLink"/>
      </w:pPr>
      <w:r>
        <w:t xml:space="preserve">Источники и записи реестра: </w:t>
      </w:r>
      <w:hyperlink r:id="rId42">
        <w:r>
          <w:rPr>
            <w:color w:val="176578"/>
            <w:u w:val="single"/>
          </w:rPr>
          <w:t>R077</w:t>
        </w:r>
      </w:hyperlink>
    </w:p>
    <w:p>
      <w:pPr>
        <w:pStyle w:val="Heading2"/>
      </w:pPr>
      <w:r>
        <w:t>Родственные дионисиевские комментарии</w:t>
      </w:r>
    </w:p>
    <w:p>
      <w:r>
        <w:t>Фома Галл представлен Explanatio in libros Dionysii, CCCM 223, и материалом современной викторинской антологии. Отдельно учтены Three Writings on Mystical Theology, изданные как Псевдо-Фома Галл: Intime domus suae, Deiformis animae gemitus и De septem gradibus contemplationis. Нельзя переносить авторство подлинного Фомы Галла на эти три текста только из-за их совместной традиции. Все эти современные издания платные.</w:t>
      </w:r>
    </w:p>
    <w:p>
      <w:pPr>
        <w:pStyle w:val="SourceLink"/>
      </w:pPr>
      <w:r>
        <w:t xml:space="preserve">Источники и записи реестра: </w:t>
      </w:r>
      <w:hyperlink r:id="rId14">
        <w:r>
          <w:rPr>
            <w:color w:val="176578"/>
            <w:u w:val="single"/>
          </w:rPr>
          <w:t>R008</w:t>
        </w:r>
      </w:hyperlink>
      <w:r>
        <w:t xml:space="preserve">  ·  </w:t>
      </w:r>
      <w:hyperlink r:id="rId57">
        <w:r>
          <w:rPr>
            <w:color w:val="176578"/>
            <w:u w:val="single"/>
          </w:rPr>
          <w:t>R061</w:t>
        </w:r>
      </w:hyperlink>
      <w:r>
        <w:t xml:space="preserve">  ·  </w:t>
      </w:r>
      <w:hyperlink r:id="rId58">
        <w:r>
          <w:rPr>
            <w:color w:val="176578"/>
            <w:u w:val="single"/>
          </w:rPr>
          <w:t>R062</w:t>
        </w:r>
      </w:hyperlink>
    </w:p>
    <w:p>
      <w:r>
        <w:t>Для De theologia mystica / Viae Sion lugent Гуго Бальмы найден авторский переводческий архив Jasper Hopkins. Непосредственно открылась первая часть — пролог и Via purgativa; остальные три части перечислены в архиве, но запросы к ним дали ошибки. Поэтому R045 имеет selected_sections, а не полный корпус. Текст не приписан Бонавентуре; отдельная поздняя атрибуция не стирает идентичность автора и перевода.</w:t>
      </w:r>
    </w:p>
    <w:p>
      <w:pPr>
        <w:pStyle w:val="SourceLink"/>
      </w:pPr>
      <w:r>
        <w:t xml:space="preserve">Источники и записи реестра: </w:t>
      </w:r>
      <w:hyperlink r:id="rId88">
        <w:r>
          <w:rPr>
            <w:color w:val="176578"/>
            <w:u w:val="single"/>
          </w:rPr>
          <w:t>R045</w:t>
        </w:r>
      </w:hyperlink>
    </w:p>
    <w:p>
      <w:pPr>
        <w:pStyle w:val="Heading2"/>
      </w:pPr>
      <w:r>
        <w:t>Сузо, Таулер и Рюйсбрук</w:t>
      </w:r>
    </w:p>
    <w:p>
      <w:r>
        <w:t>У Сузо старый немецкий вход — Deutsche Schriften под редакцией Karl Bihlmeyer, 1907, институциональный Harvard / Google-скан на Internet Archive. В нём Exemplar соседствует с другими текстами: не всё содержимое следует автоматически считать подлинным. «Не охраняется в США» сохранено как юрисдикционная помета, а не глобальная лицензия. Современный Exemplar, with Two German Sermons в переводе Frank Tobin — лучший найденный английский научный ориентир; CCEL предлагает старые английские «Вечную Премудрость» и Vita на условиях неизменённого некоммерческого PDF.</w:t>
      </w:r>
    </w:p>
    <w:p>
      <w:pPr>
        <w:pStyle w:val="SourceLink"/>
      </w:pPr>
      <w:r>
        <w:t xml:space="preserve">Источники и записи реестра: </w:t>
      </w:r>
      <w:hyperlink r:id="rId43">
        <w:r>
          <w:rPr>
            <w:color w:val="176578"/>
            <w:u w:val="single"/>
          </w:rPr>
          <w:t>R039</w:t>
        </w:r>
      </w:hyperlink>
      <w:r>
        <w:t xml:space="preserve">  ·  </w:t>
      </w:r>
      <w:hyperlink r:id="rId44">
        <w:r>
          <w:rPr>
            <w:color w:val="176578"/>
            <w:u w:val="single"/>
          </w:rPr>
          <w:t>R040</w:t>
        </w:r>
      </w:hyperlink>
      <w:r>
        <w:t xml:space="preserve">  ·  </w:t>
      </w:r>
      <w:hyperlink r:id="rId48">
        <w:r>
          <w:rPr>
            <w:color w:val="176578"/>
            <w:u w:val="single"/>
          </w:rPr>
          <w:t>R056</w:t>
        </w:r>
      </w:hyperlink>
      <w:r>
        <w:t xml:space="preserve">  ·  </w:t>
      </w:r>
      <w:hyperlink r:id="rId49">
        <w:r>
          <w:rPr>
            <w:color w:val="176578"/>
            <w:u w:val="single"/>
          </w:rPr>
          <w:t>R057</w:t>
        </w:r>
      </w:hyperlink>
    </w:p>
    <w:p>
      <w:r>
        <w:t>Наиболее сильное сочетание оригинала, скачивания, машинной пригодности и открытых прав в этой линии — Die Predigten Taulers, Ferdinand Vetter, 1910, ULB Düsseldorf. Item-level Public Domain Mark относится к конкретному цифровому изданию; сайт предоставляет PDF, TXT, ALTO, IIIF и METS. TXT и манифест открылись, отдельный ALTO-запрос завершился ошибкой. Это историческая редакция, а не обещание актуального критического текста каждой проповеди. Английский Inner Way Hutton в CCEL — выборка; расхождение 36/37 в описании её состава сохранено в примечании.</w:t>
      </w:r>
    </w:p>
    <w:p>
      <w:pPr>
        <w:pStyle w:val="SourceLink"/>
      </w:pPr>
      <w:r>
        <w:t xml:space="preserve">Источники и записи реестра: </w:t>
      </w:r>
      <w:hyperlink r:id="rId45">
        <w:r>
          <w:rPr>
            <w:color w:val="176578"/>
            <w:u w:val="single"/>
          </w:rPr>
          <w:t>R041</w:t>
        </w:r>
      </w:hyperlink>
      <w:r>
        <w:t xml:space="preserve">  ·  </w:t>
      </w:r>
      <w:hyperlink r:id="rId52">
        <w:r>
          <w:rPr>
            <w:color w:val="176578"/>
            <w:u w:val="single"/>
          </w:rPr>
          <w:t>R066</w:t>
        </w:r>
      </w:hyperlink>
    </w:p>
    <w:p>
      <w:r>
        <w:t>У Рюйсбрука самый свободный оригинальный слой — DBNL: том 6 с «Духовным браком», «Сверкающим камнем» и «Книгой высшей истины», плюс дополнительные тома 2–5. Для тома 6 подтверждены PDF и TXT, а экспорт XML не разрешился. Институциональное заявление разрешает повторное использование; рекомендуется сохранять атрибуцию издания и DBNL. Полнота серии и атрибуция De XII dogheden требуют отдельного контроля, поэтому нельзя объявить все исторические тома тождественными современному канону.</w:t>
      </w:r>
    </w:p>
    <w:p>
      <w:pPr>
        <w:pStyle w:val="SourceLink"/>
      </w:pPr>
      <w:r>
        <w:t xml:space="preserve">Источники и записи реестра: </w:t>
      </w:r>
      <w:hyperlink r:id="rId46">
        <w:r>
          <w:rPr>
            <w:color w:val="176578"/>
            <w:u w:val="single"/>
          </w:rPr>
          <w:t>R046</w:t>
        </w:r>
      </w:hyperlink>
      <w:r>
        <w:t xml:space="preserve">  ·  </w:t>
      </w:r>
      <w:hyperlink r:id="rId47">
        <w:r>
          <w:rPr>
            <w:color w:val="176578"/>
            <w:u w:val="single"/>
          </w:rPr>
          <w:t>R047</w:t>
        </w:r>
      </w:hyperlink>
    </w:p>
    <w:p>
      <w:r>
        <w:t>Старый английский перевод тех же трёх трактатов, C. A. Wynschenk Dom, 1916, есть в CCEL с некоммерческим неизменяемым PDF. Лучший найденный ориентир полного современного состава — The Complete Ruusbroec, два тома, 2014: одиннадцать трактатов и письма на средненидерландском и английском. Издатель сообщает временное отсутствие в наличии. Латинская передача Гроте доступна как отдельное критическое издание Ornatus spiritualis desponsationis; перевод Сурия XVI в. этим маршрутом не покрыт.</w:t>
      </w:r>
    </w:p>
    <w:p>
      <w:pPr>
        <w:pStyle w:val="SourceLink"/>
      </w:pPr>
      <w:r>
        <w:t xml:space="preserve">Источники и записи реестра: </w:t>
      </w:r>
      <w:hyperlink r:id="rId50">
        <w:r>
          <w:rPr>
            <w:color w:val="176578"/>
            <w:u w:val="single"/>
          </w:rPr>
          <w:t>R063</w:t>
        </w:r>
      </w:hyperlink>
      <w:r>
        <w:t xml:space="preserve">  ·  </w:t>
      </w:r>
      <w:hyperlink r:id="rId51">
        <w:r>
          <w:rPr>
            <w:color w:val="176578"/>
            <w:u w:val="single"/>
          </w:rPr>
          <w:t>R064</w:t>
        </w:r>
      </w:hyperlink>
      <w:r>
        <w:t xml:space="preserve">  ·  </w:t>
      </w:r>
      <w:hyperlink r:id="rId55">
        <w:r>
          <w:rPr>
            <w:color w:val="176578"/>
            <w:u w:val="single"/>
          </w:rPr>
          <w:t>R065</w:t>
        </w:r>
      </w:hyperlink>
    </w:p>
    <w:p>
      <w:pPr>
        <w:pStyle w:val="Heading2"/>
      </w:pPr>
      <w:r>
        <w:t>Поздняя рецепция и английская передача</w:t>
      </w:r>
    </w:p>
    <w:p>
      <w:r>
        <w:t>Для Кузанского и Венка наиболее практичны бесплатно открытые PDF на официальном сайте American Cusanus Society: Apologia doctae ignorantiae и De ignota litteratura в переводах Jasper Hopkins. Copyright сохранён. Cusanus-Portal полезен как вход к латинскому критическому тексту и переводам, но точный устойчивый вход к Apologia в этом запуске не установлен; портал не заменяет item-level запись произведения.</w:t>
      </w:r>
    </w:p>
    <w:p>
      <w:pPr>
        <w:pStyle w:val="SourceLink"/>
      </w:pPr>
      <w:r>
        <w:t xml:space="preserve">Источники и записи реестра: </w:t>
      </w:r>
      <w:hyperlink r:id="rId53">
        <w:r>
          <w:rPr>
            <w:color w:val="176578"/>
            <w:u w:val="single"/>
          </w:rPr>
          <w:t>R042</w:t>
        </w:r>
      </w:hyperlink>
      <w:r>
        <w:t xml:space="preserve">  ·  </w:t>
      </w:r>
      <w:hyperlink r:id="rId54">
        <w:r>
          <w:rPr>
            <w:color w:val="176578"/>
            <w:u w:val="single"/>
          </w:rPr>
          <w:t>R043</w:t>
        </w:r>
      </w:hyperlink>
      <w:r>
        <w:t xml:space="preserve">  ·  </w:t>
      </w:r>
      <w:hyperlink r:id="rId89">
        <w:r>
          <w:rPr>
            <w:color w:val="176578"/>
            <w:u w:val="single"/>
          </w:rPr>
          <w:t>R069</w:t>
        </w:r>
      </w:hyperlink>
    </w:p>
    <w:p>
      <w:r>
        <w:t>Cloud of Unknowing доступен полностью в среднеанглийском издании Patrick J. Gallacher, METS, 1997. Проверен текст для чтения; PDF и конкретный XML не подтверждены. Deonise Hid Diuinite, EETS 231, найден как закрытая каталожная запись Internet Archive: действительного предложения выдачи или скачивания нет. Значимую линию передачи это сохраняет, но её современное издание остаётся предметом дальнейшего библиотечного поиска.</w:t>
      </w:r>
    </w:p>
    <w:p>
      <w:pPr>
        <w:pStyle w:val="SourceLink"/>
      </w:pPr>
      <w:r>
        <w:t xml:space="preserve">Источники и записи реестра: </w:t>
      </w:r>
      <w:hyperlink r:id="rId59">
        <w:r>
          <w:rPr>
            <w:color w:val="176578"/>
            <w:u w:val="single"/>
          </w:rPr>
          <w:t>R070</w:t>
        </w:r>
      </w:hyperlink>
      <w:r>
        <w:t xml:space="preserve">  ·  </w:t>
      </w:r>
      <w:hyperlink r:id="rId64">
        <w:r>
          <w:rPr>
            <w:color w:val="176578"/>
            <w:u w:val="single"/>
          </w:rPr>
          <w:t>R079</w:t>
        </w:r>
      </w:hyperlink>
    </w:p>
    <w:p>
      <w:r>
        <w:t>Для Жерсона сохранены Google Books с ограниченным ознакомлением и HathiTrust с Limited search only. Речь о выбранных ранних работах, не о полном латинском De mystica theologia. Для комментариев Дионисия Картузианца 1536 г. подтверждена институциональная карточка Cervantes Virtual / Universidad de Granada; viewer вернул только программную оболочку, факсимиле не проверено. Theologia Germanica имеет особенно полезную пару: некоммерческий неизменяемый PDF и отдельно явно объявленный public-domain исторический электронный текст.</w:t>
      </w:r>
    </w:p>
    <w:p>
      <w:pPr>
        <w:pStyle w:val="SourceLink"/>
      </w:pPr>
      <w:r>
        <w:t xml:space="preserve">Источники и записи реестра: </w:t>
      </w:r>
      <w:hyperlink r:id="rId56">
        <w:r>
          <w:rPr>
            <w:color w:val="176578"/>
            <w:u w:val="single"/>
          </w:rPr>
          <w:t>R067</w:t>
        </w:r>
      </w:hyperlink>
      <w:r>
        <w:t xml:space="preserve">  ·  </w:t>
      </w:r>
      <w:hyperlink r:id="rId60">
        <w:r>
          <w:rPr>
            <w:color w:val="176578"/>
            <w:u w:val="single"/>
          </w:rPr>
          <w:t>R071</w:t>
        </w:r>
      </w:hyperlink>
      <w:r>
        <w:t xml:space="preserve">  ·  </w:t>
      </w:r>
      <w:hyperlink r:id="rId61">
        <w:r>
          <w:rPr>
            <w:color w:val="176578"/>
            <w:u w:val="single"/>
          </w:rPr>
          <w:t>R072</w:t>
        </w:r>
      </w:hyperlink>
      <w:r>
        <w:t xml:space="preserve">  ·  </w:t>
      </w:r>
      <w:hyperlink r:id="rId62">
        <w:r>
          <w:rPr>
            <w:color w:val="176578"/>
            <w:u w:val="single"/>
          </w:rPr>
          <w:t>R075</w:t>
        </w:r>
      </w:hyperlink>
      <w:r>
        <w:t xml:space="preserve">  ·  </w:t>
      </w:r>
      <w:hyperlink r:id="rId63">
        <w:r>
          <w:rPr>
            <w:color w:val="176578"/>
            <w:u w:val="single"/>
          </w:rPr>
          <w:t>R076</w:t>
        </w:r>
      </w:hyperlink>
    </w:p>
    <w:p>
      <w:pPr>
        <w:pStyle w:val="Heading1"/>
      </w:pPr>
      <w:r>
        <w:t>4. Карта прав и практического использования</w:t>
      </w:r>
    </w:p>
    <w:p>
      <w:r>
        <w:t>В 16 записях найдено явное основание для некоторого публичного повторного использования: восемь относятся к public-domain / PDM-компонентам, семь — к неизменённым некоммерческим PDF CCEL, одна — к тексту каталожного описания под CC BY-SA 4.0. Это не разрешение разместить шестнадцать полных авторских корпусов. Объём каждого положительного тега ограничен одновременно rights_scope и coverage.</w:t>
      </w:r>
    </w:p>
    <w:tbl>
      <w:tblPr>
        <w:tblW w:type="auto" w:w="0"/>
        <w:jc w:val="center"/>
        <w:tblLayout w:type="fixed"/>
        <w:tblLook w:firstColumn="1" w:firstRow="1" w:lastColumn="0" w:lastRow="0" w:noHBand="0" w:noVBand="1" w:val="04A0"/>
      </w:tblPr>
      <w:tblGrid>
        <w:gridCol w:w="2721"/>
        <w:gridCol w:w="6917"/>
      </w:tblGrid>
      <w:tr>
        <w:trPr>
          <w:cantSplit/>
          <w:tblHeader/>
        </w:trPr>
        <w:tc>
          <w:tcPr>
            <w:tcW w:type="dxa" w:w="2721"/>
            <w:vAlign w:val="top"/>
            <w:shd w:fill="164E63"/>
            <w:tcMar>
              <w:top w:w="85" w:type="dxa"/>
              <w:left w:w="85" w:type="dxa"/>
              <w:bottom w:w="85" w:type="dxa"/>
              <w:right w:w="85" w:type="dxa"/>
            </w:tcMar>
          </w:tcPr>
          <w:p>
            <w:pPr>
              <w:spacing w:after="60" w:line="245" w:lineRule="auto"/>
            </w:pPr>
            <w:r>
              <w:rPr>
                <w:b/>
                <w:color w:val="FFFFFF"/>
                <w:sz w:val="19"/>
              </w:rPr>
              <w:t>Группа</w:t>
            </w:r>
          </w:p>
        </w:tc>
        <w:tc>
          <w:tcPr>
            <w:tcW w:type="dxa" w:w="6917"/>
            <w:vAlign w:val="top"/>
            <w:shd w:fill="164E63"/>
            <w:tcMar>
              <w:top w:w="85" w:type="dxa"/>
              <w:left w:w="85" w:type="dxa"/>
              <w:bottom w:w="85" w:type="dxa"/>
              <w:right w:w="85" w:type="dxa"/>
            </w:tcMar>
          </w:tcPr>
          <w:p>
            <w:pPr>
              <w:spacing w:after="60" w:line="245" w:lineRule="auto"/>
            </w:pPr>
            <w:r>
              <w:rPr>
                <w:b/>
                <w:color w:val="FFFFFF"/>
                <w:sz w:val="19"/>
              </w:rPr>
              <w:t>Что разрешено и где проходит граница</w:t>
            </w:r>
          </w:p>
        </w:tc>
      </w:tr>
      <w:tr>
        <w:trPr>
          <w:cantSplit/>
        </w:trPr>
        <w:tc>
          <w:tcPr>
            <w:tcW w:type="dxa" w:w="2721"/>
            <w:vAlign w:val="top"/>
            <w:shd w:fill="F0F5F7"/>
            <w:tcMar>
              <w:top w:w="85" w:type="dxa"/>
              <w:left w:w="85" w:type="dxa"/>
              <w:bottom w:w="85" w:type="dxa"/>
              <w:right w:w="85" w:type="dxa"/>
            </w:tcMar>
          </w:tcPr>
          <w:p>
            <w:pPr>
              <w:spacing w:after="60" w:line="245" w:lineRule="auto"/>
            </w:pPr>
            <w:r>
              <w:rPr>
                <w:sz w:val="19"/>
              </w:rPr>
              <w:t>Public domain / PDM</w:t>
              <w:br/>
              <w:t>8 записей</w:t>
            </w:r>
          </w:p>
        </w:tc>
        <w:tc>
          <w:tcPr>
            <w:tcW w:type="dxa" w:w="6917"/>
            <w:vAlign w:val="top"/>
            <w:shd w:fill="F0F5F7"/>
            <w:tcMar>
              <w:top w:w="85" w:type="dxa"/>
              <w:left w:w="85" w:type="dxa"/>
              <w:bottom w:w="85" w:type="dxa"/>
              <w:right w:w="85" w:type="dxa"/>
            </w:tcMar>
          </w:tcPr>
          <w:p>
            <w:pPr>
              <w:spacing w:after="60" w:line="245" w:lineRule="auto"/>
            </w:pPr>
            <w:r>
              <w:rPr>
                <w:sz w:val="19"/>
              </w:rPr>
              <w:t>R046–R050, R066, R068, R072. Разрешённый слой — конкретные тексты, исторические издания или один том; не весь репозиторий и не современные комментарии.</w:t>
            </w:r>
          </w:p>
        </w:tc>
      </w:tr>
      <w:tr>
        <w:trPr>
          <w:cantSplit/>
        </w:trPr>
        <w:tc>
          <w:tcPr>
            <w:tcW w:type="dxa" w:w="2721"/>
            <w:vAlign w:val="top"/>
            <w:shd w:fill="FFFFFF"/>
            <w:tcMar>
              <w:top w:w="85" w:type="dxa"/>
              <w:left w:w="85" w:type="dxa"/>
              <w:bottom w:w="85" w:type="dxa"/>
              <w:right w:w="85" w:type="dxa"/>
            </w:tcMar>
          </w:tcPr>
          <w:p>
            <w:pPr>
              <w:spacing w:after="60" w:line="245" w:lineRule="auto"/>
            </w:pPr>
            <w:r>
              <w:rPr>
                <w:sz w:val="19"/>
              </w:rPr>
              <w:t>NC, без изменений</w:t>
              <w:br/>
              <w:t>7 записей</w:t>
            </w:r>
          </w:p>
        </w:tc>
        <w:tc>
          <w:tcPr>
            <w:tcW w:type="dxa" w:w="6917"/>
            <w:vAlign w:val="top"/>
            <w:shd w:fill="FFFFFF"/>
            <w:tcMar>
              <w:top w:w="85" w:type="dxa"/>
              <w:left w:w="85" w:type="dxa"/>
              <w:bottom w:w="85" w:type="dxa"/>
              <w:right w:w="85" w:type="dxa"/>
            </w:tcMar>
          </w:tcPr>
          <w:p>
            <w:pPr>
              <w:spacing w:after="60" w:line="245" w:lineRule="auto"/>
            </w:pPr>
            <w:r>
              <w:rPr>
                <w:sz w:val="19"/>
              </w:rPr>
              <w:t>R031, R039–R041, R051, R063, R071. Разрешение CCEL на некоммерческое копирование целого неизменённого PDF. Это собственные условия, не CC BY-NC.</w:t>
            </w:r>
          </w:p>
        </w:tc>
      </w:tr>
      <w:tr>
        <w:trPr>
          <w:cantSplit/>
        </w:trPr>
        <w:tc>
          <w:tcPr>
            <w:tcW w:type="dxa" w:w="2721"/>
            <w:vAlign w:val="top"/>
            <w:shd w:fill="F0F5F7"/>
            <w:tcMar>
              <w:top w:w="85" w:type="dxa"/>
              <w:left w:w="85" w:type="dxa"/>
              <w:bottom w:w="85" w:type="dxa"/>
              <w:right w:w="85" w:type="dxa"/>
            </w:tcMar>
          </w:tcPr>
          <w:p>
            <w:pPr>
              <w:spacing w:after="60" w:line="245" w:lineRule="auto"/>
            </w:pPr>
            <w:r>
              <w:rPr>
                <w:sz w:val="19"/>
              </w:rPr>
              <w:t>CC BY-SA 4.0</w:t>
              <w:br/>
              <w:t>1 запись</w:t>
            </w:r>
          </w:p>
        </w:tc>
        <w:tc>
          <w:tcPr>
            <w:tcW w:type="dxa" w:w="6917"/>
            <w:vAlign w:val="top"/>
            <w:shd w:fill="F0F5F7"/>
            <w:tcMar>
              <w:top w:w="85" w:type="dxa"/>
              <w:left w:w="85" w:type="dxa"/>
              <w:bottom w:w="85" w:type="dxa"/>
              <w:right w:w="85" w:type="dxa"/>
            </w:tcMar>
          </w:tcPr>
          <w:p>
            <w:pPr>
              <w:spacing w:after="60" w:line="245" w:lineRule="auto"/>
            </w:pPr>
            <w:r>
              <w:rPr>
                <w:sz w:val="19"/>
              </w:rPr>
              <w:t>R034. Текст описания Handschriftencensus: атрибуция и ShareAlike. Права на фотографии кодекса из этого разрешения не следуют.</w:t>
            </w:r>
          </w:p>
        </w:tc>
      </w:tr>
      <w:tr>
        <w:trPr>
          <w:cantSplit/>
        </w:trPr>
        <w:tc>
          <w:tcPr>
            <w:tcW w:type="dxa" w:w="2721"/>
            <w:vAlign w:val="top"/>
            <w:shd w:fill="FFFFFF"/>
            <w:tcMar>
              <w:top w:w="85" w:type="dxa"/>
              <w:left w:w="85" w:type="dxa"/>
              <w:bottom w:w="85" w:type="dxa"/>
              <w:right w:w="85" w:type="dxa"/>
            </w:tcMar>
          </w:tcPr>
          <w:p>
            <w:pPr>
              <w:spacing w:after="60" w:line="245" w:lineRule="auto"/>
            </w:pPr>
            <w:r>
              <w:rPr>
                <w:sz w:val="19"/>
              </w:rPr>
              <w:t>Бесплатно, но не для зеркала</w:t>
            </w:r>
          </w:p>
        </w:tc>
        <w:tc>
          <w:tcPr>
            <w:tcW w:type="dxa" w:w="6917"/>
            <w:vAlign w:val="top"/>
            <w:shd w:fill="FFFFFF"/>
            <w:tcMar>
              <w:top w:w="85" w:type="dxa"/>
              <w:left w:w="85" w:type="dxa"/>
              <w:bottom w:w="85" w:type="dxa"/>
              <w:right w:w="85" w:type="dxa"/>
            </w:tcMar>
          </w:tcPr>
          <w:p>
            <w:pPr>
              <w:spacing w:after="60" w:line="245" w:lineRule="auto"/>
            </w:pPr>
            <w:r>
              <w:rPr>
                <w:sz w:val="19"/>
              </w:rPr>
              <w:t>ACS / Hopkins, O’Donnell, Sedmitza, New Advent, часть других веб-текстов. Доступ для чтения сохранён; открытая лицензия соответствующего цифрового слоя не установлена.</w:t>
            </w:r>
          </w:p>
        </w:tc>
      </w:tr>
      <w:tr>
        <w:trPr>
          <w:cantSplit/>
        </w:trPr>
        <w:tc>
          <w:tcPr>
            <w:tcW w:type="dxa" w:w="2721"/>
            <w:vAlign w:val="top"/>
            <w:shd w:fill="F0F5F7"/>
            <w:tcMar>
              <w:top w:w="85" w:type="dxa"/>
              <w:left w:w="85" w:type="dxa"/>
              <w:bottom w:w="85" w:type="dxa"/>
              <w:right w:w="85" w:type="dxa"/>
            </w:tcMar>
          </w:tcPr>
          <w:p>
            <w:pPr>
              <w:spacing w:after="60" w:line="245" w:lineRule="auto"/>
            </w:pPr>
            <w:r>
              <w:rPr>
                <w:sz w:val="19"/>
              </w:rPr>
              <w:t>Покупка, preview, каталог</w:t>
            </w:r>
          </w:p>
        </w:tc>
        <w:tc>
          <w:tcPr>
            <w:tcW w:type="dxa" w:w="6917"/>
            <w:vAlign w:val="top"/>
            <w:shd w:fill="F0F5F7"/>
            <w:tcMar>
              <w:top w:w="85" w:type="dxa"/>
              <w:left w:w="85" w:type="dxa"/>
              <w:bottom w:w="85" w:type="dxa"/>
              <w:right w:w="85" w:type="dxa"/>
            </w:tcMar>
          </w:tcPr>
          <w:p>
            <w:pPr>
              <w:spacing w:after="60" w:line="245" w:lineRule="auto"/>
            </w:pPr>
            <w:r>
              <w:rPr>
                <w:sz w:val="19"/>
              </w:rPr>
              <w:t>Современные критические издания и переводы, закрытые записи, отсутствующие в наличии книги. Ссылки и библиографические карточки полезны без права публикации самого текста.</w:t>
            </w:r>
          </w:p>
        </w:tc>
      </w:tr>
    </w:tbl>
    <w:p>
      <w:pPr>
        <w:spacing w:after="0"/>
      </w:pPr>
    </w:p>
    <w:p>
      <w:pPr>
        <w:pStyle w:val="Heading2"/>
      </w:pPr>
      <w:r>
        <w:t>Свободные оригиналы и собственный перевод ToS</w:t>
      </w:r>
    </w:p>
    <w:p>
      <w:r>
        <w:t>Безусловный в пределах записи тег OWN_TRANSLATION_POSSIBLE поставлен только для двух конкретных основ: средненидерландских трёх трактатов Рюйсбрука в DBNL, том 6, и немецких проповедей Таулера в цифровом издании Vetter 1910 г. Он не охватывает весь корпус Рюйсбрука, все версии проповедей Таулера или комментарий современного исследователя. Будущий перевод должен явно указывать использованную историческую редакцию.</w:t>
      </w:r>
    </w:p>
    <w:p>
      <w:pPr>
        <w:pStyle w:val="SourceLink"/>
      </w:pPr>
      <w:r>
        <w:t xml:space="preserve">Подтверждение прав: </w:t>
      </w:r>
      <w:hyperlink r:id="rId90">
        <w:r>
          <w:rPr>
            <w:color w:val="176578"/>
            <w:u w:val="single"/>
          </w:rPr>
          <w:t>R046</w:t>
        </w:r>
      </w:hyperlink>
      <w:r>
        <w:t xml:space="preserve">  ·  </w:t>
      </w:r>
      <w:hyperlink r:id="rId52">
        <w:r>
          <w:rPr>
            <w:color w:val="176578"/>
            <w:u w:val="single"/>
          </w:rPr>
          <w:t>R066</w:t>
        </w:r>
      </w:hyperlink>
    </w:p>
    <w:p>
      <w:r>
        <w:t>Переводы Паркера и исторический электронный Theologia Germanica подходят для хранения и повторного использования указанного свободного переводного слоя, но не объявлены чистым оригиналом для нового перевода с греческого или немецкого. Для Кордье разрешения на цифровой том и его обработку подтверждены PDM, однако надёжная греческая основа ещё требует работы с изображениями и разделения оригинала, схолий и парафраза. Поэтому OWN_TRANSLATION_POSSIBLE там не выставлен.</w:t>
      </w:r>
    </w:p>
    <w:p>
      <w:pPr>
        <w:pStyle w:val="SourceLink"/>
      </w:pPr>
      <w:r>
        <w:t xml:space="preserve">Подтверждение прав: </w:t>
      </w:r>
      <w:hyperlink r:id="rId32">
        <w:r>
          <w:rPr>
            <w:color w:val="176578"/>
            <w:u w:val="single"/>
          </w:rPr>
          <w:t>R048</w:t>
        </w:r>
      </w:hyperlink>
      <w:r>
        <w:t xml:space="preserve">  ·  </w:t>
      </w:r>
      <w:hyperlink r:id="rId33">
        <w:r>
          <w:rPr>
            <w:color w:val="176578"/>
            <w:u w:val="single"/>
          </w:rPr>
          <w:t>R049</w:t>
        </w:r>
      </w:hyperlink>
      <w:r>
        <w:t xml:space="preserve">  ·  </w:t>
      </w:r>
      <w:hyperlink r:id="rId34">
        <w:r>
          <w:rPr>
            <w:color w:val="176578"/>
            <w:u w:val="single"/>
          </w:rPr>
          <w:t>R050</w:t>
        </w:r>
      </w:hyperlink>
      <w:r>
        <w:t xml:space="preserve">  ·  </w:t>
      </w:r>
      <w:hyperlink r:id="rId38">
        <w:r>
          <w:rPr>
            <w:color w:val="176578"/>
            <w:u w:val="single"/>
          </w:rPr>
          <w:t>R068</w:t>
        </w:r>
      </w:hyperlink>
      <w:r>
        <w:t xml:space="preserve">  ·  </w:t>
      </w:r>
      <w:hyperlink r:id="rId91">
        <w:r>
          <w:rPr>
            <w:color w:val="176578"/>
            <w:u w:val="single"/>
          </w:rPr>
          <w:t>R072</w:t>
        </w:r>
      </w:hyperlink>
    </w:p>
    <w:p>
      <w:r>
        <w:t>В центральном латинском ядре отсутствие этого тега не означает, что средневековый оригинал защищён современным copyright. Оно означает более узкое: в рамках выполненной проверки не закреплена одновременно конкретная читаемая оригинальная основа, её редакционная идентичность и условия использования цифрового объекта. Этот пробел нельзя закрывать заимствованием защищённой реконструкции из нового критического издания.</w:t>
      </w:r>
    </w:p>
    <w:p>
      <w:pPr>
        <w:pStyle w:val="Heading2"/>
      </w:pPr>
      <w:r>
        <w:t>Некоммерческие варианты без потери условий</w:t>
      </w:r>
    </w:p>
    <w:p>
      <w:r>
        <w:t>В семи открытых PDF CCEL проверено собственное разрешение на некоммерческое копирование без изменений. Практическая рекомендация — сохранять полный неизменённый файл, титулы и уведомления, не удалять служебные страницы и не представлять это как CC-лицензию. Из разрешения копировать PDF не выведены автоматически права публично распространять исправленный OCR, перевод, самостоятельный полнотекстовый индекс или embeddings. Эти действия оставлены для отдельной проверки.</w:t>
      </w:r>
    </w:p>
    <w:p>
      <w:pPr>
        <w:pStyle w:val="SourceLink"/>
      </w:pPr>
      <w:r>
        <w:t xml:space="preserve">Подтверждение прав: </w:t>
      </w:r>
      <w:hyperlink r:id="rId92">
        <w:r>
          <w:rPr>
            <w:color w:val="176578"/>
            <w:u w:val="single"/>
          </w:rPr>
          <w:t>R031</w:t>
        </w:r>
      </w:hyperlink>
      <w:r>
        <w:t xml:space="preserve">  ·  </w:t>
      </w:r>
      <w:hyperlink r:id="rId93">
        <w:r>
          <w:rPr>
            <w:color w:val="176578"/>
            <w:u w:val="single"/>
          </w:rPr>
          <w:t>R039</w:t>
        </w:r>
      </w:hyperlink>
      <w:r>
        <w:t xml:space="preserve">  ·  </w:t>
      </w:r>
      <w:hyperlink r:id="rId94">
        <w:r>
          <w:rPr>
            <w:color w:val="176578"/>
            <w:u w:val="single"/>
          </w:rPr>
          <w:t>R040</w:t>
        </w:r>
      </w:hyperlink>
      <w:r>
        <w:t xml:space="preserve">  ·  </w:t>
      </w:r>
      <w:hyperlink r:id="rId95">
        <w:r>
          <w:rPr>
            <w:color w:val="176578"/>
            <w:u w:val="single"/>
          </w:rPr>
          <w:t>R041</w:t>
        </w:r>
      </w:hyperlink>
      <w:r>
        <w:t xml:space="preserve">  ·  </w:t>
      </w:r>
      <w:hyperlink r:id="rId96">
        <w:r>
          <w:rPr>
            <w:color w:val="176578"/>
            <w:u w:val="single"/>
          </w:rPr>
          <w:t>R051</w:t>
        </w:r>
      </w:hyperlink>
      <w:r>
        <w:t xml:space="preserve">  ·  </w:t>
      </w:r>
      <w:hyperlink r:id="rId97">
        <w:r>
          <w:rPr>
            <w:color w:val="176578"/>
            <w:u w:val="single"/>
          </w:rPr>
          <w:t>R063</w:t>
        </w:r>
      </w:hyperlink>
      <w:r>
        <w:t xml:space="preserve">  ·  </w:t>
      </w:r>
      <w:hyperlink r:id="rId91">
        <w:r>
          <w:rPr>
            <w:color w:val="176578"/>
            <w:u w:val="single"/>
          </w:rPr>
          <w:t>R071</w:t>
        </w:r>
      </w:hyperlink>
    </w:p>
    <w:p>
      <w:r>
        <w:t>У METS есть полезная, но пока не реализованная в этой записи возможность: условия проекта различают HTML для индивидуального использования и XML под CC BY-NC-SA 4.0. Полный HTML Cloud прочитан, но конкретный XML этого старого издания не найден. Поэтому некоммерческое зеркалирование HTML не разрешено по лицензии другого компонента. Следующий шаг — найти точный XML и подтвердить, что лицензия распространяется именно на него.</w:t>
      </w:r>
    </w:p>
    <w:p>
      <w:pPr>
        <w:pStyle w:val="SourceLink"/>
      </w:pPr>
      <w:r>
        <w:t xml:space="preserve">Подтверждение прав: </w:t>
      </w:r>
      <w:hyperlink r:id="rId98">
        <w:r>
          <w:rPr>
            <w:color w:val="176578"/>
            <w:u w:val="single"/>
          </w:rPr>
          <w:t>R070</w:t>
        </w:r>
      </w:hyperlink>
    </w:p>
    <w:p>
      <w:pPr>
        <w:pStyle w:val="Heading2"/>
      </w:pPr>
      <w:r>
        <w:t>Смешанные права и автоматическая обработка</w:t>
      </w:r>
    </w:p>
    <w:p>
      <w:r>
        <w:t>Для Nürnberg Cent. IV,40 положительные теги относятся к тексту Handschriftencensus: нужны атрибуция, ссылка на лицензию и соблюдение ShareAlike при распространении переработанного описания. Факсимиле выделено отдельно. Для Basel B VI 16 сообщение CC0 найдено через Biblissima, но первичная иконка лицензии в проверенном представлении e-codices не была читаема. Сильные разрешения на изображения на основании одной этой перепубликации метаданных не выставлены.</w:t>
      </w:r>
    </w:p>
    <w:p>
      <w:pPr>
        <w:pStyle w:val="SourceLink"/>
      </w:pPr>
      <w:r>
        <w:t xml:space="preserve">Подтверждение прав: </w:t>
      </w:r>
      <w:hyperlink r:id="rId21">
        <w:r>
          <w:rPr>
            <w:color w:val="176578"/>
            <w:u w:val="single"/>
          </w:rPr>
          <w:t>R034</w:t>
        </w:r>
      </w:hyperlink>
      <w:r>
        <w:t xml:space="preserve">  ·  </w:t>
      </w:r>
      <w:hyperlink r:id="rId31">
        <w:r>
          <w:rPr>
            <w:color w:val="176578"/>
            <w:u w:val="single"/>
          </w:rPr>
          <w:t>R038</w:t>
        </w:r>
      </w:hyperlink>
    </w:p>
    <w:p>
      <w:r>
        <w:t>OCR, публичный полнотекстовый поиск и embeddings оценены раздельно. Например, TXT Таулера уже пригоден для машинного чтения, но качество OCR нужно проверять; у греческого Кордье свободные права не устраняют технических ошибок. В R047 свободное повторное использование указанных DBNL-текстов не означает доказанную возможность без ограничений получать весь массив через bulk/XML. В каждой смешанной записи примечание объясняет, какое действие подтверждено и что именно блокирует RIGHTS_REVIEW_REQUIRED.</w:t>
      </w:r>
    </w:p>
    <w:p>
      <w:pPr>
        <w:pStyle w:val="SourceLink"/>
      </w:pPr>
      <w:r>
        <w:t xml:space="preserve">Подтверждение прав: </w:t>
      </w:r>
      <w:hyperlink r:id="rId99">
        <w:r>
          <w:rPr>
            <w:color w:val="176578"/>
            <w:u w:val="single"/>
          </w:rPr>
          <w:t>R047</w:t>
        </w:r>
      </w:hyperlink>
      <w:r>
        <w:t xml:space="preserve">  ·  </w:t>
      </w:r>
      <w:hyperlink r:id="rId52">
        <w:r>
          <w:rPr>
            <w:color w:val="176578"/>
            <w:u w:val="single"/>
          </w:rPr>
          <w:t>R066</w:t>
        </w:r>
      </w:hyperlink>
      <w:r>
        <w:t xml:space="preserve">  ·  </w:t>
      </w:r>
      <w:hyperlink r:id="rId38">
        <w:r>
          <w:rPr>
            <w:color w:val="176578"/>
            <w:u w:val="single"/>
          </w:rPr>
          <w:t>R068</w:t>
        </w:r>
      </w:hyperlink>
    </w:p>
    <w:p>
      <w:r>
        <w:t>Теги LOCAL_RESEARCH_COPY и FREE_DOWNLOAD не являются самостоятельной лицензией на публикацию. Они описывают доступное штатное сохранение или исследовательский маршрут в пределах условий источника. Для защищённых изданий право распространять файл, публиковать переработанную транскрипцию или открытый индекс требует отдельного основания. Некоммерческий характер ToS сам по себе этого основания не создаёт.</w:t>
      </w:r>
    </w:p>
    <w:p>
      <w:pPr>
        <w:pStyle w:val="Heading1"/>
      </w:pPr>
      <w:r>
        <w:t>5. Характерные правовые и текстологические тонкости</w:t>
      </w:r>
    </w:p>
    <w:p>
      <w:pPr>
        <w:pStyle w:val="Heading2"/>
      </w:pPr>
      <w:r>
        <w:t>Старое произведение, новое издание</w:t>
      </w:r>
    </w:p>
    <w:p>
      <w:r>
        <w:t>Авторский оригинал, перевод, критическая реконструкция и цифровая копия имеют разные режимы. Особенно важно не объявлять свободными Реутина, Hopkins, Gallacher, Luibheid или современные CCCM/DW/LW из-за средневековой даты исходного текста. При использовании старых Migne, Pfeiffer, Vetter или Bihlmeyer нужно также отделять законность доступа от современной научной надёжности атрибуций и чтений.</w:t>
      </w:r>
    </w:p>
    <w:p>
      <w:pPr>
        <w:pStyle w:val="SourceLink"/>
      </w:pPr>
      <w:r>
        <w:t xml:space="preserve">Источники и записи реестра: </w:t>
      </w:r>
      <w:hyperlink r:id="rId11">
        <w:r>
          <w:rPr>
            <w:color w:val="176578"/>
            <w:u w:val="single"/>
          </w:rPr>
          <w:t>R001</w:t>
        </w:r>
      </w:hyperlink>
      <w:r>
        <w:t xml:space="preserve">  ·  </w:t>
      </w:r>
      <w:hyperlink r:id="rId74">
        <w:r>
          <w:rPr>
            <w:color w:val="176578"/>
            <w:u w:val="single"/>
          </w:rPr>
          <w:t>R021</w:t>
        </w:r>
      </w:hyperlink>
      <w:r>
        <w:t xml:space="preserve">  ·  </w:t>
      </w:r>
      <w:hyperlink r:id="rId20">
        <w:r>
          <w:rPr>
            <w:color w:val="176578"/>
            <w:u w:val="single"/>
          </w:rPr>
          <w:t>R028</w:t>
        </w:r>
      </w:hyperlink>
      <w:r>
        <w:t xml:space="preserve">  ·  </w:t>
      </w:r>
      <w:hyperlink r:id="rId83">
        <w:r>
          <w:rPr>
            <w:color w:val="176578"/>
            <w:u w:val="single"/>
          </w:rPr>
          <w:t>R030</w:t>
        </w:r>
      </w:hyperlink>
      <w:r>
        <w:t xml:space="preserve">  ·  </w:t>
      </w:r>
      <w:hyperlink r:id="rId39">
        <w:r>
          <w:rPr>
            <w:color w:val="176578"/>
            <w:u w:val="single"/>
          </w:rPr>
          <w:t>R044</w:t>
        </w:r>
      </w:hyperlink>
      <w:r>
        <w:t xml:space="preserve">  ·  </w:t>
      </w:r>
      <w:hyperlink r:id="rId36">
        <w:r>
          <w:rPr>
            <w:color w:val="176578"/>
            <w:u w:val="single"/>
          </w:rPr>
          <w:t>R052</w:t>
        </w:r>
      </w:hyperlink>
      <w:r>
        <w:t xml:space="preserve">  ·  </w:t>
      </w:r>
      <w:hyperlink r:id="rId48">
        <w:r>
          <w:rPr>
            <w:color w:val="176578"/>
            <w:u w:val="single"/>
          </w:rPr>
          <w:t>R056</w:t>
        </w:r>
      </w:hyperlink>
      <w:r>
        <w:t xml:space="preserve">  ·  </w:t>
      </w:r>
      <w:hyperlink r:id="rId52">
        <w:r>
          <w:rPr>
            <w:color w:val="176578"/>
            <w:u w:val="single"/>
          </w:rPr>
          <w:t>R066</w:t>
        </w:r>
      </w:hyperlink>
      <w:r>
        <w:t xml:space="preserve">  ·  </w:t>
      </w:r>
      <w:hyperlink r:id="rId59">
        <w:r>
          <w:rPr>
            <w:color w:val="176578"/>
            <w:u w:val="single"/>
          </w:rPr>
          <w:t>R070</w:t>
        </w:r>
      </w:hyperlink>
      <w:r>
        <w:t xml:space="preserve">  ·  </w:t>
      </w:r>
      <w:hyperlink r:id="rId87">
        <w:r>
          <w:rPr>
            <w:color w:val="176578"/>
            <w:u w:val="single"/>
          </w:rPr>
          <w:t>R078</w:t>
        </w:r>
      </w:hyperlink>
    </w:p>
    <w:p>
      <w:pPr>
        <w:pStyle w:val="Heading2"/>
      </w:pPr>
      <w:r>
        <w:t>Public Domain Mark — статус, а не лицензия</w:t>
      </w:r>
    </w:p>
    <w:p>
      <w:r>
        <w:t>PDM в Дюссельдорфе и институциональной записи Севильи зафиксирован как заявление о статусе конкретного объекта. Надпись «Not in copyright» с ограничением США у старого Сузо не превращена в универсальное общественное достояние. Юрисдикция будущего размещения ToS этим исследованием не определялась; выводы по одному сроку охраны без достаточного основания не использованы для безусловного зеркалирования.</w:t>
      </w:r>
    </w:p>
    <w:p>
      <w:pPr>
        <w:pStyle w:val="SourceLink"/>
      </w:pPr>
      <w:r>
        <w:t xml:space="preserve">Подтверждение прав: </w:t>
      </w:r>
      <w:hyperlink r:id="rId48">
        <w:r>
          <w:rPr>
            <w:color w:val="176578"/>
            <w:u w:val="single"/>
          </w:rPr>
          <w:t>R056</w:t>
        </w:r>
      </w:hyperlink>
      <w:r>
        <w:t xml:space="preserve">  ·  </w:t>
      </w:r>
      <w:hyperlink r:id="rId52">
        <w:r>
          <w:rPr>
            <w:color w:val="176578"/>
            <w:u w:val="single"/>
          </w:rPr>
          <w:t>R066</w:t>
        </w:r>
      </w:hyperlink>
      <w:r>
        <w:t xml:space="preserve">  ·  </w:t>
      </w:r>
      <w:hyperlink r:id="rId38">
        <w:r>
          <w:rPr>
            <w:color w:val="176578"/>
            <w:u w:val="single"/>
          </w:rPr>
          <w:t>R068</w:t>
        </w:r>
      </w:hyperlink>
    </w:p>
    <w:p>
      <w:pPr>
        <w:pStyle w:val="Heading2"/>
      </w:pPr>
      <w:r>
        <w:t>Полнота и доступность — не одно и то же</w:t>
      </w:r>
    </w:p>
    <w:p>
      <w:r>
        <w:t>Полный PDF выборки остаётся выборкой; полный кодекс остаётся одним свидетелем. Семь проповедей Field не равны немецкому собранию, один том Кордье — всему Дионисию, первая часть Бальмы — всему Viae Sion lugent. HathiTrust Full view и меню Google Books подтверждают заявленный маршрут, но не успешную загрузку каждого файла; 403 и защитная проверка не доказывают, что произведение не оцифровано.</w:t>
      </w:r>
    </w:p>
    <w:p>
      <w:pPr>
        <w:pStyle w:val="SourceLink"/>
      </w:pPr>
      <w:r>
        <w:t xml:space="preserve">Источники и записи реестра: </w:t>
      </w:r>
      <w:hyperlink r:id="rId84">
        <w:r>
          <w:rPr>
            <w:color w:val="176578"/>
            <w:u w:val="single"/>
          </w:rPr>
          <w:t>R031</w:t>
        </w:r>
      </w:hyperlink>
      <w:r>
        <w:t xml:space="preserve">  ·  </w:t>
      </w:r>
      <w:hyperlink r:id="rId22">
        <w:r>
          <w:rPr>
            <w:color w:val="176578"/>
            <w:u w:val="single"/>
          </w:rPr>
          <w:t>R035</w:t>
        </w:r>
      </w:hyperlink>
      <w:r>
        <w:t xml:space="preserve">  ·  </w:t>
      </w:r>
      <w:hyperlink r:id="rId88">
        <w:r>
          <w:rPr>
            <w:color w:val="176578"/>
            <w:u w:val="single"/>
          </w:rPr>
          <w:t>R045</w:t>
        </w:r>
      </w:hyperlink>
      <w:r>
        <w:t xml:space="preserve">  ·  </w:t>
      </w:r>
      <w:hyperlink r:id="rId68">
        <w:r>
          <w:rPr>
            <w:color w:val="176578"/>
            <w:u w:val="single"/>
          </w:rPr>
          <w:t>R055</w:t>
        </w:r>
      </w:hyperlink>
      <w:r>
        <w:t xml:space="preserve">  ·  </w:t>
      </w:r>
      <w:hyperlink r:id="rId38">
        <w:r>
          <w:rPr>
            <w:color w:val="176578"/>
            <w:u w:val="single"/>
          </w:rPr>
          <w:t>R068</w:t>
        </w:r>
      </w:hyperlink>
      <w:r>
        <w:t xml:space="preserve">  ·  </w:t>
      </w:r>
      <w:hyperlink r:id="rId66">
        <w:r>
          <w:rPr>
            <w:color w:val="176578"/>
            <w:u w:val="single"/>
          </w:rPr>
          <w:t>R074</w:t>
        </w:r>
      </w:hyperlink>
    </w:p>
    <w:p>
      <w:pPr>
        <w:pStyle w:val="Heading2"/>
      </w:pPr>
      <w:r>
        <w:t>Редактор, переводчик и псевдоатрибуция</w:t>
      </w:r>
    </w:p>
    <w:p>
      <w:r>
        <w:t>У Ruusbroec английский переводчик Wynschenk Dom отличён от редакционного участия Evelyn Underhill; у Сузо автор вступления не превращён в переводчика. Псевдо-Фома Галл отделён от Фомы Галла, а анонимная Theologia Germanica — от Экхарта. В старых сборниках и рукописях атрибуции требуют самостоятельного контроля. Обнаруженная в каталоге книги Дионисия Картузианца привязка Ioannis Scoti к Duns Scotus не перенесена в реестр как достоверная идентичность средневекового переводчика Дионисия.</w:t>
      </w:r>
    </w:p>
    <w:p>
      <w:pPr>
        <w:pStyle w:val="SourceLink"/>
      </w:pPr>
      <w:r>
        <w:t xml:space="preserve">Источники и записи реестра: </w:t>
      </w:r>
      <w:hyperlink r:id="rId43">
        <w:r>
          <w:rPr>
            <w:color w:val="176578"/>
            <w:u w:val="single"/>
          </w:rPr>
          <w:t>R039</w:t>
        </w:r>
      </w:hyperlink>
      <w:r>
        <w:t xml:space="preserve">  ·  </w:t>
      </w:r>
      <w:hyperlink r:id="rId58">
        <w:r>
          <w:rPr>
            <w:color w:val="176578"/>
            <w:u w:val="single"/>
          </w:rPr>
          <w:t>R062</w:t>
        </w:r>
      </w:hyperlink>
      <w:r>
        <w:t xml:space="preserve">  ·  </w:t>
      </w:r>
      <w:hyperlink r:id="rId50">
        <w:r>
          <w:rPr>
            <w:color w:val="176578"/>
            <w:u w:val="single"/>
          </w:rPr>
          <w:t>R063</w:t>
        </w:r>
      </w:hyperlink>
      <w:r>
        <w:t xml:space="preserve">  ·  </w:t>
      </w:r>
      <w:hyperlink r:id="rId56">
        <w:r>
          <w:rPr>
            <w:color w:val="176578"/>
            <w:u w:val="single"/>
          </w:rPr>
          <w:t>R067</w:t>
        </w:r>
      </w:hyperlink>
      <w:r>
        <w:t xml:space="preserve">  ·  </w:t>
      </w:r>
      <w:hyperlink r:id="rId60">
        <w:r>
          <w:rPr>
            <w:color w:val="176578"/>
            <w:u w:val="single"/>
          </w:rPr>
          <w:t>R071</w:t>
        </w:r>
      </w:hyperlink>
    </w:p>
    <w:p>
      <w:pPr>
        <w:pStyle w:val="Heading2"/>
      </w:pPr>
      <w:r>
        <w:t>Портал не равен открытому корпусу</w:t>
      </w:r>
    </w:p>
    <w:p>
      <w:r>
        <w:t>Meister-Eckhart-Archiv digital и Cusanus-Portal полезны как инфраструктура. Их наличие не означает ни открытой лицензии на все тексты, ни готового bulk-пакета. Аналогично «Find in a library», прежний ярлык inlibrary и издательская кнопка заказа не доказывают доступной пользователю выдачи или фактического наличия книги. Эти границы сохранены, даже когда путь выглядит перспективным.</w:t>
      </w:r>
    </w:p>
    <w:p>
      <w:pPr>
        <w:pStyle w:val="SourceLink"/>
      </w:pPr>
      <w:r>
        <w:t xml:space="preserve">Источники и записи реестра: </w:t>
      </w:r>
      <w:hyperlink r:id="rId86">
        <w:r>
          <w:rPr>
            <w:color w:val="176578"/>
            <w:u w:val="single"/>
          </w:rPr>
          <w:t>R036</w:t>
        </w:r>
      </w:hyperlink>
      <w:r>
        <w:t xml:space="preserve">  ·  </w:t>
      </w:r>
      <w:hyperlink r:id="rId89">
        <w:r>
          <w:rPr>
            <w:color w:val="176578"/>
            <w:u w:val="single"/>
          </w:rPr>
          <w:t>R069</w:t>
        </w:r>
      </w:hyperlink>
      <w:r>
        <w:t xml:space="preserve">  ·  </w:t>
      </w:r>
      <w:hyperlink r:id="rId63">
        <w:r>
          <w:rPr>
            <w:color w:val="176578"/>
            <w:u w:val="single"/>
          </w:rPr>
          <w:t>R076</w:t>
        </w:r>
      </w:hyperlink>
      <w:r>
        <w:t xml:space="preserve">  ·  </w:t>
      </w:r>
      <w:hyperlink r:id="rId42">
        <w:r>
          <w:rPr>
            <w:color w:val="176578"/>
            <w:u w:val="single"/>
          </w:rPr>
          <w:t>R077</w:t>
        </w:r>
      </w:hyperlink>
      <w:r>
        <w:t xml:space="preserve">  ·  </w:t>
      </w:r>
      <w:hyperlink r:id="rId64">
        <w:r>
          <w:rPr>
            <w:color w:val="176578"/>
            <w:u w:val="single"/>
          </w:rPr>
          <w:t>R079</w:t>
        </w:r>
      </w:hyperlink>
    </w:p>
    <w:p>
      <w:pPr>
        <w:pStyle w:val="Heading1"/>
      </w:pPr>
      <w:r>
        <w:t>6. Пробелы и дальнейший поиск</w:t>
      </w:r>
    </w:p>
    <w:p>
      <w:r>
        <w:t>Поиск не доведён до исчерпывающей переписи всех сочинений и рукописей. Завершено широкое библиографическое ядро, основные современные пути и несколько сильных открытых слоёв; непроверенные продолжения и технические препятствия сохранены в 30 строках gaps. Все главные объекты исходного DR имеют маршрут либо явный пробел, но это не означает полного чтения каждого тома, разрешения всех атрибуций или получения всех файлов.</w:t>
      </w:r>
    </w:p>
    <w:p>
      <w:pPr>
        <w:pStyle w:val="Heading2"/>
      </w:pPr>
      <w:r>
        <w:t>Восемь приоритетных направлений</w:t>
      </w:r>
    </w:p>
    <w:p>
      <w:r>
        <w:t>1. Латинское ядро викторинцев и Бонавентуры — G02, G04–G07, G28. Восстановить доступ к Paderborn; сопоставить комплект HathiTrust с дефектными отдельными сканами; определить колонки Super Hierarchiam в PL 175; проверить Benjamin Major, Benjamin Minor и De Trinitate в старой латыни. В томе VIII Бонавентуры отдельно разметить De triplici via, Soliloquium и Lignum vitae, а для Hexaemeron — использованную reportatio. Цель — конкретные чистые оригинальные основы, а не новая общая библиография.</w:t>
      </w:r>
    </w:p>
    <w:p>
      <w:r>
        <w:t>2. Экхарт: рукописи, подлинность и процесс — G01, G03, G08–G11, G23. Приоритетны GNM Hs. 18537 / Predigt 99, факсимиле Nürnberg Cent. IV,40, первичные условия Basel B VI 16, Codex Cusanus 21, DW II и IV и отдельный свободный латинский In agro dominico с процессуальными материалами. Schwester Katrei остаётся unverified_candidate: требуется подтверждение идентичности, атрибуции и конкретного издания по корпусному или библиотечному источнику.</w:t>
      </w:r>
    </w:p>
    <w:p>
      <w:r>
        <w:t>3. Дионисиевские переводчики и комментарии — G14–G16, G26. Открыть факсимиле Granada 1536; проверить состав переводов Эриугены, Саррацина, Траверсари и Фичино, отделив парафраз Галла. Найти item-level Glose super angelica ierarchia Фомы Галла и De contemplatione Дионисия Картузианца. Расширить Кордье за пределы первого тома или найти более надёжную открытую греческую основу; схолии и оригинал должны оставаться различимыми.</w:t>
      </w:r>
    </w:p>
    <w:p>
      <w:r>
        <w:t>4. Английская рецепция и Бальма — G13, G19–G21. Получить оставшиеся части Hopkins для Бальмы; найти конкретный TEI-XML Cloud и его применимую лицензию; подтвердить полноценную законную выдачу или покупку EETS 231 Deonise Hid Diuinite. Для Жерсона нужны полный латинский De mystica theologia и его полемика с Рюйсбруком, а не только современные выдержки.</w:t>
      </w:r>
    </w:p>
    <w:p>
      <w:r>
        <w:t>5. Сузо, Таулер и Рюйсбрук за пределами найденных выборок — G17, G18, G27, G30. Предметно проверить Horologium sapientiae Сузо: полная латинская версия не заменяется немецкой «Вечной Премудростью». Найти латинский перевод Рюйсбрука Сурия XVI в., первый том DBNL и разобраться с De XII dogheden. Проверить более новые критические издания и реальную библиотечную выдачу там, где карточки сообщают отсутствие в наличии.</w:t>
      </w:r>
    </w:p>
    <w:p>
      <w:r>
        <w:t>6. Кузанский и документированная рецепция Экхарта — G11, G12, G29. Найти устойчивые латинские ссылки Apologia в Cusanus-Portal, привязать места об Экхарте к конкретной редакции и к рукописному свидетельству чтения. De docta ignorantia и De visione Dei — релевантные обнаруженные кандидаты, которым ещё нужен полноценный отдельный поиск доступа; бесплатные переводы Apologia и Венка их не покрывают.</w:t>
      </w:r>
    </w:p>
    <w:p>
      <w:r>
        <w:t>7. Русские переводы и свободные оригиналы — G22, G27, G28. Для Сабашниковой нужны проверенный экземпляр 1912 г., точная история переиздания и правовая оценка в выбранной юрисдикции; древность Экхарта недостаточна. Для Реутина и Задворного следует сохранить законные карточки и внешнее чтение, не подменяя отсутствие прав на зеркалирование неавторизованными загрузками.</w:t>
      </w:r>
    </w:p>
    <w:p>
      <w:r>
        <w:t>8. Машинный латинский слой и точные входящие источники — G24–G26, G28. В Corpus Corporum нужны конкретные item-level тексты, базовые издания и условия использования, а не только ссылка на портал. По Проклу, Маймониду, Авиценне, Аверроэсу и Ибн Габиролю сначала установить произведения и loci через аппарат LW. Лишь после этого расширять первичный реестр; принадлежность к неоплатонизму или школьной культуре сама по себе недостаточна.</w:t>
      </w:r>
    </w:p>
    <w:p>
      <w:pPr>
        <w:pStyle w:val="SmallNote"/>
      </w:pPr>
      <w:r>
        <w:t>Технические неудачи и неполная проверка концентрируются в Paderborn (403), Nürnberg (защитная проверка), отдельных viewers HathiTrust и Google, части PDF ACS, экспортных XML/ALTO и Granada. Они обозначены как ошибки проверки или частичная проверка, не как отсутствие текста. Полностью защищённые современные издания остаются полезными маршрутами покупки, preview и библиотечного поиска; для ни одного закрытого файла Internet Archive не обещана фактически не проверенная выдача.</w:t>
      </w:r>
    </w:p>
    <w:p>
      <w:pPr>
        <w:pStyle w:val="Heading1"/>
      </w:pPr>
      <w:r>
        <w:t>7. Итоговая оценка</w:t>
      </w:r>
    </w:p>
    <w:p>
      <w:r>
        <w:t>Корпус хорошо покрыт на уровне основных произведений, современных научных изданий и законных вариантов ознакомления. У четырёх центральных авторов есть рабочая библиографическая карта; слабее покрыты полная свободная латынь викторинцев, машинное Quaracchi, отдельные немецкие тома Экхарта и конкретные рукописные входы. Английские переводы доступны заметно лучше русских, однако значительная часть лучших переводов защищена.</w:t>
      </w:r>
    </w:p>
    <w:p>
      <w:r>
        <w:t>Самый свободный подтверждённый оригинальный слой находится у Таулера в ULB Düsseldorf и Рюйсбрука в DBNL. Дополнительные свободные слои — старые переводы Дионисия, исторический текст Theologia Germanica и конкретный институциональный том Кордье; последний требует серьёзного контроля греческого OCR. Для семи PDF CCEL некоммерческая публикация возможна только без изменений. Главные ограничения — современные редакторские и переводческие права, качество старых сканов и непроверенная полнота отдельных маршрутов.</w:t>
      </w:r>
    </w:p>
    <w:p>
      <w:r>
        <w:t>Пакет пригоден для передачи Codex как исследовательский реестр: записи имеют устойчивые локальные ID, различают объект, версию, объём, проверку и права; gaps сохраняет конкретные незавершённые направления. Он не является автоматическим разрешением на загрузку и публикацию всех найденных материалов. Следующее использование должно наследовать rights_scope, coverage и оговорки verification_status, а не только положительные теги.</w:t>
      </w:r>
    </w:p>
    <w:p>
      <w:pPr>
        <w:pStyle w:val="SmallNote"/>
      </w:pPr>
      <w:r>
        <w:t>Поставка: парный XLSX содержит 79 записей registry в 32 требуемых колонках и 30 записей gaps. Этот отчёт объясняет покрытие и решения, не заменяя подробности таблицы. Исходный DR и мастер-строка T2-27 / B сохранены без изменений.</w:t>
      </w:r>
    </w:p>
    <w:sectPr w:rsidR="00FC693F" w:rsidRPr="0006063C" w:rsidSect="00034616">
      <w:headerReference w:type="default" r:id="rId9"/>
      <w:footerReference w:type="default" r:id="rId10"/>
      <w:pgSz w:w="11906" w:h="16838"/>
      <w:pgMar w:top="1049"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85"/>
        <w:sz w:val="18"/>
      </w:rPr>
      <w:t xml:space="preserve">ToS  •  Проверено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Bdr>
        <w:bottom w:val="single" w:sz="4" w:space="5" w:color="C8D7DD"/>
      </w:pBdr>
    </w:pPr>
    <w:r>
      <w:t>ДРЕВО СОФИИ  /  CORPUS &amp; RIGHTS                                     T2-27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2231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23D5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6578"/>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765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Calibri" w:hAnsi="Calibri"/>
      <w:color w:val="123D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Calibri" w:hAnsi="Calibri"/>
      <w:i/>
      <w:iCs/>
      <w:color w:val="5366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k">
    <w:name w:val="SourceLink"/>
    <w:pPr>
      <w:widowControl/>
      <w:spacing w:after="120" w:line="240" w:lineRule="auto" w:before="0"/>
    </w:pPr>
    <w:rPr>
      <w:rFonts w:ascii="Calibri" w:hAnsi="Calibri"/>
      <w:color w:val="567786"/>
      <w:sz w:val="18"/>
    </w:rPr>
  </w:style>
  <w:style w:type="paragraph" w:customStyle="1" w:styleId="SmallNote">
    <w:name w:val="SmallNote"/>
    <w:pPr>
      <w:widowControl/>
      <w:spacing w:after="120" w:line="240" w:lineRule="auto"/>
    </w:pPr>
    <w:rPr>
      <w:rFonts w:ascii="Calibri" w:hAnsi="Calibri"/>
      <w:color w:val="5366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repols.net/products/IS-9782503047812-1" TargetMode="External"/><Relationship Id="rId12" Type="http://schemas.openxmlformats.org/officeDocument/2006/relationships/hyperlink" Target="https://www.brepols.net/products/IS-9782503594125-1" TargetMode="External"/><Relationship Id="rId13" Type="http://schemas.openxmlformats.org/officeDocument/2006/relationships/hyperlink" Target="https://www.brepols.net/products/IS-9782503047614-1" TargetMode="External"/><Relationship Id="rId14" Type="http://schemas.openxmlformats.org/officeDocument/2006/relationships/hyperlink" Target="https://www.brepols.net/products/IS-9782503553115-1" TargetMode="External"/><Relationship Id="rId15" Type="http://schemas.openxmlformats.org/officeDocument/2006/relationships/hyperlink" Target="https://www.franciscanpublications.com/collections/st-bonaventure-and-works-of-st-bonaventure/products/itinerarium-mentis-in-deum" TargetMode="External"/><Relationship Id="rId16" Type="http://schemas.openxmlformats.org/officeDocument/2006/relationships/hyperlink" Target="https://www.franciscanpublications.com/collections/st-bonaventure-and-works-of-st-bonaventure/products/disputed-questions-on-the-knowledge-of-christ" TargetMode="External"/><Relationship Id="rId17" Type="http://schemas.openxmlformats.org/officeDocument/2006/relationships/hyperlink" Target="https://www.franciscanpublications.com/collections/st-bonaventure-and-works-of-st-bonaventure/products/collations-on-the-hexaemeron" TargetMode="External"/><Relationship Id="rId18" Type="http://schemas.openxmlformats.org/officeDocument/2006/relationships/hyperlink" Target="https://www.franciscanpublications.com/collections/st-bonaventure-and-works-of-st-bonaventure/products/commentaries-on-the-sentences-philosophy-of-god" TargetMode="External"/><Relationship Id="rId19" Type="http://schemas.openxmlformats.org/officeDocument/2006/relationships/hyperlink" Target="https://shop.kohlhammer.de/meister-eckhart-lateinische-werke-band-5-978-3-17-001086-4.html" TargetMode="External"/><Relationship Id="rId20" Type="http://schemas.openxmlformats.org/officeDocument/2006/relationships/hyperlink" Target="https://shop.kohlhammer.de/meister-eckhart-deutsche-werke-band-5-traktate-978-3-17-071075-7.html" TargetMode="External"/><Relationship Id="rId21" Type="http://schemas.openxmlformats.org/officeDocument/2006/relationships/hyperlink" Target="https://handschriftencensus.de/5509" TargetMode="External"/><Relationship Id="rId22" Type="http://schemas.openxmlformats.org/officeDocument/2006/relationships/hyperlink" Target="https://nbn-resolving.org/urn:nbn:de:bvb:75-20240305152116" TargetMode="External"/><Relationship Id="rId23" Type="http://schemas.openxmlformats.org/officeDocument/2006/relationships/hyperlink" Target="https://www.brepols.net/products/IS-9782503534596-1" TargetMode="External"/><Relationship Id="rId24" Type="http://schemas.openxmlformats.org/officeDocument/2006/relationships/hyperlink" Target="https://www.brepols.net/products/978-2-503-04771-3" TargetMode="External"/><Relationship Id="rId25" Type="http://schemas.openxmlformats.org/officeDocument/2006/relationships/hyperlink" Target="https://www.brepols.net/products/978-2-503-52647-8" TargetMode="External"/><Relationship Id="rId26" Type="http://schemas.openxmlformats.org/officeDocument/2006/relationships/hyperlink" Target="https://www.brepols.net/products/978-2-503-56451-7" TargetMode="External"/><Relationship Id="rId27" Type="http://schemas.openxmlformats.org/officeDocument/2006/relationships/hyperlink" Target="https://www.franciscanpublications.com/collections/st-bonaventure-and-works-of-st-bonaventure/products/disputed-questions-on-thy-mystery-of-the-trinity" TargetMode="External"/><Relationship Id="rId28" Type="http://schemas.openxmlformats.org/officeDocument/2006/relationships/hyperlink" Target="https://www.franciscanpublications.com/collections/st-bonaventure-and-works-of-st-bonaventure/products/on-the-reduction-of-arts-to-theology" TargetMode="External"/><Relationship Id="rId29" Type="http://schemas.openxmlformats.org/officeDocument/2006/relationships/hyperlink" Target="https://www.franciscanpublications.com/collections/st-bonaventure-and-works-of-st-bonaventure/products/breviloquium" TargetMode="External"/><Relationship Id="rId30" Type="http://schemas.openxmlformats.org/officeDocument/2006/relationships/hyperlink" Target="https://www.paulistpress.com/Products/2122-0/richard-of-st-victor.aspx" TargetMode="External"/><Relationship Id="rId31" Type="http://schemas.openxmlformats.org/officeDocument/2006/relationships/hyperlink" Target="https://www.e-codices.ch/en/list/one/ubb/B-VI-0016" TargetMode="External"/><Relationship Id="rId32" Type="http://schemas.openxmlformats.org/officeDocument/2006/relationships/hyperlink" Target="https://www.tertullian.org/fathers/areopagite_03_divine_names.htm" TargetMode="External"/><Relationship Id="rId33" Type="http://schemas.openxmlformats.org/officeDocument/2006/relationships/hyperlink" Target="https://www.tertullian.org/fathers/areopagite_13_heavenly_hierarchy.htm" TargetMode="External"/><Relationship Id="rId34" Type="http://schemas.openxmlformats.org/officeDocument/2006/relationships/hyperlink" Target="https://www.tertullian.org/fathers/areopagite_14_ecclesiastical_hierarchy.htm" TargetMode="External"/><Relationship Id="rId35" Type="http://schemas.openxmlformats.org/officeDocument/2006/relationships/hyperlink" Target="https://www.ccel.org/ccel/rolt/dionysius.html" TargetMode="External"/><Relationship Id="rId36" Type="http://schemas.openxmlformats.org/officeDocument/2006/relationships/hyperlink" Target="https://www.paulistpress.com/Products/2838-1/pseudo-dionysius.aspx" TargetMode="External"/><Relationship Id="rId37" Type="http://schemas.openxmlformats.org/officeDocument/2006/relationships/hyperlink" Target="https://www.brepols.net/products/IS-9782503033112-1" TargetMode="External"/><Relationship Id="rId38" Type="http://schemas.openxmlformats.org/officeDocument/2006/relationships/hyperlink" Target="https://archive.org/details/A210107" TargetMode="External"/><Relationship Id="rId39" Type="http://schemas.openxmlformats.org/officeDocument/2006/relationships/hyperlink" Target="https://www.americancusanussociety.org/s/monologion.pdf" TargetMode="External"/><Relationship Id="rId40" Type="http://schemas.openxmlformats.org/officeDocument/2006/relationships/hyperlink" Target="https://faculty.georgetown.edu/jod/conf/" TargetMode="External"/><Relationship Id="rId41" Type="http://schemas.openxmlformats.org/officeDocument/2006/relationships/hyperlink" Target="https://www.newadvent.org/fathers/1301.htm" TargetMode="External"/><Relationship Id="rId42" Type="http://schemas.openxmlformats.org/officeDocument/2006/relationships/hyperlink" Target="https://www.marquette.edu/mupress/orderpage1.shtml" TargetMode="External"/><Relationship Id="rId43" Type="http://schemas.openxmlformats.org/officeDocument/2006/relationships/hyperlink" Target="https://ccel.org/ccel/suso/wisdom/wisdom" TargetMode="External"/><Relationship Id="rId44" Type="http://schemas.openxmlformats.org/officeDocument/2006/relationships/hyperlink" Target="https://ccel.org/ccel/suso/susolife/susolife" TargetMode="External"/><Relationship Id="rId45" Type="http://schemas.openxmlformats.org/officeDocument/2006/relationships/hyperlink" Target="https://ccel.org/ccel/tauler/inner_way/inner_way" TargetMode="External"/><Relationship Id="rId46" Type="http://schemas.openxmlformats.org/officeDocument/2006/relationships/hyperlink" Target="https://www.dbnl.org/tekst/ruus001vlae06_01/" TargetMode="External"/><Relationship Id="rId47" Type="http://schemas.openxmlformats.org/officeDocument/2006/relationships/hyperlink" Target="https://www.dbnl.org/tekst/ruus001vlae00_01/" TargetMode="External"/><Relationship Id="rId48" Type="http://schemas.openxmlformats.org/officeDocument/2006/relationships/hyperlink" Target="https://archive.org/details/deutscheschrift00seusgoog" TargetMode="External"/><Relationship Id="rId49" Type="http://schemas.openxmlformats.org/officeDocument/2006/relationships/hyperlink" Target="https://www.paulistpress.com/Products/2986-8/henry-suso.aspx" TargetMode="External"/><Relationship Id="rId50" Type="http://schemas.openxmlformats.org/officeDocument/2006/relationships/hyperlink" Target="https://www.ccel.org/ccel/ruysbroeck/adornment.html" TargetMode="External"/><Relationship Id="rId51" Type="http://schemas.openxmlformats.org/officeDocument/2006/relationships/hyperlink" Target="https://www.brepols.net/products/IS-9782503549545-1" TargetMode="External"/><Relationship Id="rId52" Type="http://schemas.openxmlformats.org/officeDocument/2006/relationships/hyperlink" Target="https://digital.ulb.hhu.de/ihd/content/titleinfo/272952" TargetMode="External"/><Relationship Id="rId53" Type="http://schemas.openxmlformats.org/officeDocument/2006/relationships/hyperlink" Target="https://www.americancusanussociety.org/s/Apologia12-2000.pdf" TargetMode="External"/><Relationship Id="rId54" Type="http://schemas.openxmlformats.org/officeDocument/2006/relationships/hyperlink" Target="https://www.americancusanussociety.org/s/Wenck12-2000.pdf" TargetMode="External"/><Relationship Id="rId55" Type="http://schemas.openxmlformats.org/officeDocument/2006/relationships/hyperlink" Target="https://www.brepols.net/products/IS-9782503047218-1" TargetMode="External"/><Relationship Id="rId56" Type="http://schemas.openxmlformats.org/officeDocument/2006/relationships/hyperlink" Target="https://www.cervantesvirtual.com/obra/d-dionysii-carthusiani-super-omnes-s-dionysij-areopagitae-libros-commentaria-nunc-primum-utilitati-publicae-donata-praeter-haec-adest-hic-quadruplex-operum-e-graeco-in-latinum-translatio-et-vna-paraphrasis-prima-ioannis-scoti-secunda-iohannis-sarraceni-te/" TargetMode="External"/><Relationship Id="rId57" Type="http://schemas.openxmlformats.org/officeDocument/2006/relationships/hyperlink" Target="https://www.brepols.net/products/IS-9782503533599-1" TargetMode="External"/><Relationship Id="rId58" Type="http://schemas.openxmlformats.org/officeDocument/2006/relationships/hyperlink" Target="https://www.brepols.net/products/IS-9782503607337-1" TargetMode="External"/><Relationship Id="rId59" Type="http://schemas.openxmlformats.org/officeDocument/2006/relationships/hyperlink" Target="https://metseditions.org/editions/aWgRLadaS5pv7I4Kb0szg25IMeVvkVqeE" TargetMode="External"/><Relationship Id="rId60" Type="http://schemas.openxmlformats.org/officeDocument/2006/relationships/hyperlink" Target="https://www.ccel.org/ccel/anonymous/theologia.html" TargetMode="External"/><Relationship Id="rId61" Type="http://schemas.openxmlformats.org/officeDocument/2006/relationships/hyperlink" Target="https://ccel.org/ccel/anonymous/theologia/theologia.i.html" TargetMode="External"/><Relationship Id="rId62" Type="http://schemas.openxmlformats.org/officeDocument/2006/relationships/hyperlink" Target="https://books.google.com/books/about/Jean_Gerson.html?id=qLgTEAAAQBAJ" TargetMode="External"/><Relationship Id="rId63" Type="http://schemas.openxmlformats.org/officeDocument/2006/relationships/hyperlink" Target="https://catalog.hathitrust.org/Record/003997136" TargetMode="External"/><Relationship Id="rId64" Type="http://schemas.openxmlformats.org/officeDocument/2006/relationships/hyperlink" Target="https://archive.org/details/deonisehiddiuini0000na" TargetMode="External"/><Relationship Id="rId65" Type="http://schemas.openxmlformats.org/officeDocument/2006/relationships/hyperlink" Target="https://books.google.com/books?id=rMQUAAAAQAAJ&amp;printsec=frontcover" TargetMode="External"/><Relationship Id="rId66" Type="http://schemas.openxmlformats.org/officeDocument/2006/relationships/hyperlink" Target="https://books.google.com/books/about/Hugonis_de_S_Victore_opera_omnia.html?id=isQUAAAAQAAJ" TargetMode="External"/><Relationship Id="rId67" Type="http://schemas.openxmlformats.org/officeDocument/2006/relationships/hyperlink" Target="https://archive.org/details/richardisanctovi00rich" TargetMode="External"/><Relationship Id="rId68" Type="http://schemas.openxmlformats.org/officeDocument/2006/relationships/hyperlink" Target="https://catalog.hathitrust.org/Record/011594918" TargetMode="External"/><Relationship Id="rId69" Type="http://schemas.openxmlformats.org/officeDocument/2006/relationships/hyperlink" Target="https://archive.org/details/doctorisseraphic05bona" TargetMode="External"/><Relationship Id="rId70" Type="http://schemas.openxmlformats.org/officeDocument/2006/relationships/hyperlink" Target="https://archive.org/details/doctorisseraphic08bona" TargetMode="External"/><Relationship Id="rId71" Type="http://schemas.openxmlformats.org/officeDocument/2006/relationships/hyperlink" Target="https://digital.ub.uni-paderborn.de/ihd/content/titleinfo/3441833" TargetMode="External"/><Relationship Id="rId72" Type="http://schemas.openxmlformats.org/officeDocument/2006/relationships/hyperlink" Target="https://www.thelatinlibrary.com/bonaventura.itinerarium.html" TargetMode="External"/><Relationship Id="rId73" Type="http://schemas.openxmlformats.org/officeDocument/2006/relationships/hyperlink" Target="https://www.sedmitza.ru/lib/text/430356/" TargetMode="External"/><Relationship Id="rId74" Type="http://schemas.openxmlformats.org/officeDocument/2006/relationships/hyperlink" Target="https://shop.kohlhammer.de/meister-eckhart-lateinische-werke-band-1-1-978-3-17-071082-5.html" TargetMode="External"/><Relationship Id="rId75" Type="http://schemas.openxmlformats.org/officeDocument/2006/relationships/hyperlink" Target="https://shop.kohlhammer.de/meister-eckhart-lateinische-werke-band-1-2-978-3-17-010109-8.html" TargetMode="External"/><Relationship Id="rId76" Type="http://schemas.openxmlformats.org/officeDocument/2006/relationships/hyperlink" Target="https://shop.kohlhammer.de/meister-eckhart-lateinische-werke-band-2-978-3-17-001084-0.html" TargetMode="External"/><Relationship Id="rId77" Type="http://schemas.openxmlformats.org/officeDocument/2006/relationships/hyperlink" Target="https://shop.kohlhammer.de/meister-eckhart-lateinische-werke-band-3-978-3-17-001085-7.html" TargetMode="External"/><Relationship Id="rId78" Type="http://schemas.openxmlformats.org/officeDocument/2006/relationships/hyperlink" Target="https://shop.kohlhammer.de/meister-eckhart-lateinische-werke-band-4-978-3-17-061207-5.html" TargetMode="External"/><Relationship Id="rId79" Type="http://schemas.openxmlformats.org/officeDocument/2006/relationships/hyperlink" Target="https://shop.kohlhammer.de/meister-eckhart-deutsche-werke-band-1-predigten-978-3-17-061210-5.html" TargetMode="External"/><Relationship Id="rId80" Type="http://schemas.openxmlformats.org/officeDocument/2006/relationships/hyperlink" Target="https://pims.ca/publication/isbn-978-0-88844-264-2/" TargetMode="External"/><Relationship Id="rId81" Type="http://schemas.openxmlformats.org/officeDocument/2006/relationships/hyperlink" Target="https://www.logos.com/product/120232/meister-eckhart-the-essential-sermons-commentaries-treatises-and-defense" TargetMode="External"/><Relationship Id="rId82" Type="http://schemas.openxmlformats.org/officeDocument/2006/relationships/hyperlink" Target="https://shop.kohlhammer.de/meister-eckhart-deutsche-werke-band-3-predigten-978-3-17-002740-4.html" TargetMode="External"/><Relationship Id="rId83" Type="http://schemas.openxmlformats.org/officeDocument/2006/relationships/hyperlink" Target="https://catalog.hathitrust.org/Record/100682901" TargetMode="External"/><Relationship Id="rId84" Type="http://schemas.openxmlformats.org/officeDocument/2006/relationships/hyperlink" Target="https://www.ccel.org/ccel/eckhart/sermons.html" TargetMode="External"/><Relationship Id="rId85" Type="http://schemas.openxmlformats.org/officeDocument/2006/relationships/hyperlink" Target="https://www.handschriftencensus.de/personen/778" TargetMode="External"/><Relationship Id="rId86" Type="http://schemas.openxmlformats.org/officeDocument/2006/relationships/hyperlink" Target="https://thomasinstitut.uni-koeln.de/forschung/digitale-plattformen-editionen/meister-eckhart-archiv-digital" TargetMode="External"/><Relationship Id="rId87" Type="http://schemas.openxmlformats.org/officeDocument/2006/relationships/hyperlink" Target="https://www.labirint.ru/books/580510/" TargetMode="External"/><Relationship Id="rId88" Type="http://schemas.openxmlformats.org/officeDocument/2006/relationships/hyperlink" Target="https://www.americancusanussociety.org/jasper-hopkins" TargetMode="External"/><Relationship Id="rId89" Type="http://schemas.openxmlformats.org/officeDocument/2006/relationships/hyperlink" Target="https://cusanus-portal.de/" TargetMode="External"/><Relationship Id="rId90" Type="http://schemas.openxmlformats.org/officeDocument/2006/relationships/hyperlink" Target="https://www.dbnl.org/titels/gebruiksvoorwaarden.php?id=ruus001vlae06" TargetMode="External"/><Relationship Id="rId91" Type="http://schemas.openxmlformats.org/officeDocument/2006/relationships/hyperlink" Target="https://www.ccel.org/ccel/a/anonymous/theologia/cache/theologia.pdf" TargetMode="External"/><Relationship Id="rId92" Type="http://schemas.openxmlformats.org/officeDocument/2006/relationships/hyperlink" Target="https://www.ccel.org/ccel/e/eckhart/sermons/cache/sermons.pdf" TargetMode="External"/><Relationship Id="rId93" Type="http://schemas.openxmlformats.org/officeDocument/2006/relationships/hyperlink" Target="https://ccel.org/ccel/s/suso/wisdom/cache/wisdom.pdf" TargetMode="External"/><Relationship Id="rId94" Type="http://schemas.openxmlformats.org/officeDocument/2006/relationships/hyperlink" Target="https://ccel.org/ccel/s/suso/susolife/cache/susolife.pdf" TargetMode="External"/><Relationship Id="rId95" Type="http://schemas.openxmlformats.org/officeDocument/2006/relationships/hyperlink" Target="https://ccel.org/ccel/t/tauler/inner_way/cache/inner_way.pdf" TargetMode="External"/><Relationship Id="rId96" Type="http://schemas.openxmlformats.org/officeDocument/2006/relationships/hyperlink" Target="https://www.ccel.org/ccel/r/rolt/dionysius/cache/dionysius.pdf" TargetMode="External"/><Relationship Id="rId97" Type="http://schemas.openxmlformats.org/officeDocument/2006/relationships/hyperlink" Target="https://www.ccel.org/ccel/r/ruysbroeck/adornment/cache/adornment.pdf" TargetMode="External"/><Relationship Id="rId98" Type="http://schemas.openxmlformats.org/officeDocument/2006/relationships/hyperlink" Target="https://metseditions.org/copyright-citation" TargetMode="External"/><Relationship Id="rId99" Type="http://schemas.openxmlformats.org/officeDocument/2006/relationships/hyperlink" Target="https://www.dbnl.org/titels/gebruiksvoorwaarden.php?id=ruus001vlae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T2-27</dc:title>
  <dc:subject>Латинская мистика и философская теология: корпус, доступ и права</dc:subject>
  <dc:creator>ToS / Древо Софии</dc:creator>
  <cp:keywords>T2-27; corpus; rights; Victorines; Bonaventure; Eckhart</cp:keywords>
  <dc:description>Исследовательский отчёт. Реестр записей и пробелов поставляется в парном XLSX.</dc:description>
  <cp:lastModifiedBy/>
  <cp:revision>1</cp:revision>
  <dcterms:created xsi:type="dcterms:W3CDTF">2013-12-23T23:15:00Z</dcterms:created>
  <dcterms:modified xsi:type="dcterms:W3CDTF">2013-12-23T23:15:00Z</dcterms:modified>
  <cp:category/>
</cp:coreProperties>
</file>